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1C" w:rsidRDefault="008E091C" w:rsidP="00B71FFE">
      <w:pPr>
        <w:spacing w:after="120" w:line="360" w:lineRule="auto"/>
        <w:jc w:val="center"/>
        <w:rPr>
          <w:b/>
          <w:sz w:val="28"/>
          <w:szCs w:val="28"/>
        </w:rPr>
      </w:pPr>
      <w:r w:rsidRPr="00061D28">
        <w:rPr>
          <w:b/>
          <w:iCs/>
          <w:color w:val="000000"/>
          <w:sz w:val="28"/>
          <w:szCs w:val="28"/>
        </w:rPr>
        <w:t>НИИ нейрохирургии им. акад. Н.Н.Бурденко, Москва</w:t>
      </w:r>
      <w:r w:rsidR="00011582">
        <w:rPr>
          <w:b/>
          <w:sz w:val="28"/>
          <w:szCs w:val="28"/>
        </w:rPr>
        <w:t xml:space="preserve">  </w:t>
      </w:r>
    </w:p>
    <w:p w:rsidR="008E091C" w:rsidRDefault="008E091C" w:rsidP="008E091C">
      <w:pPr>
        <w:autoSpaceDE w:val="0"/>
        <w:autoSpaceDN w:val="0"/>
        <w:adjustRightInd w:val="0"/>
        <w:spacing w:after="0" w:line="360" w:lineRule="auto"/>
        <w:jc w:val="center"/>
        <w:rPr>
          <w:b/>
          <w:iCs/>
          <w:color w:val="000000"/>
          <w:sz w:val="28"/>
          <w:szCs w:val="28"/>
        </w:rPr>
      </w:pPr>
    </w:p>
    <w:p w:rsidR="008E091C" w:rsidRDefault="008E091C" w:rsidP="008E091C">
      <w:pPr>
        <w:autoSpaceDE w:val="0"/>
        <w:autoSpaceDN w:val="0"/>
        <w:adjustRightInd w:val="0"/>
        <w:spacing w:after="0" w:line="360" w:lineRule="auto"/>
        <w:jc w:val="center"/>
        <w:rPr>
          <w:b/>
          <w:iCs/>
          <w:color w:val="000000"/>
          <w:sz w:val="28"/>
          <w:szCs w:val="28"/>
        </w:rPr>
      </w:pPr>
    </w:p>
    <w:p w:rsidR="008E091C" w:rsidRDefault="008E091C" w:rsidP="008E091C">
      <w:pPr>
        <w:autoSpaceDE w:val="0"/>
        <w:autoSpaceDN w:val="0"/>
        <w:adjustRightInd w:val="0"/>
        <w:spacing w:after="0" w:line="360" w:lineRule="auto"/>
        <w:jc w:val="center"/>
        <w:rPr>
          <w:b/>
          <w:iCs/>
          <w:color w:val="000000"/>
          <w:sz w:val="28"/>
          <w:szCs w:val="28"/>
        </w:rPr>
      </w:pPr>
    </w:p>
    <w:p w:rsidR="008E091C" w:rsidRDefault="008E091C" w:rsidP="008E091C">
      <w:pPr>
        <w:autoSpaceDE w:val="0"/>
        <w:autoSpaceDN w:val="0"/>
        <w:adjustRightInd w:val="0"/>
        <w:spacing w:after="0" w:line="360" w:lineRule="auto"/>
        <w:jc w:val="center"/>
        <w:rPr>
          <w:b/>
          <w:iCs/>
          <w:color w:val="000000"/>
          <w:sz w:val="28"/>
          <w:szCs w:val="28"/>
        </w:rPr>
      </w:pPr>
    </w:p>
    <w:p w:rsidR="008E091C" w:rsidRDefault="008E091C" w:rsidP="008E091C">
      <w:pPr>
        <w:autoSpaceDE w:val="0"/>
        <w:autoSpaceDN w:val="0"/>
        <w:adjustRightInd w:val="0"/>
        <w:spacing w:after="0" w:line="360" w:lineRule="auto"/>
        <w:jc w:val="center"/>
        <w:rPr>
          <w:b/>
          <w:iCs/>
          <w:color w:val="000000"/>
          <w:sz w:val="28"/>
          <w:szCs w:val="28"/>
        </w:rPr>
      </w:pPr>
    </w:p>
    <w:p w:rsidR="008E091C" w:rsidRDefault="008E091C" w:rsidP="008E091C">
      <w:pPr>
        <w:autoSpaceDE w:val="0"/>
        <w:autoSpaceDN w:val="0"/>
        <w:adjustRightInd w:val="0"/>
        <w:spacing w:after="0" w:line="360" w:lineRule="auto"/>
        <w:jc w:val="center"/>
        <w:rPr>
          <w:b/>
          <w:iCs/>
          <w:color w:val="000000"/>
          <w:sz w:val="28"/>
          <w:szCs w:val="28"/>
        </w:rPr>
      </w:pPr>
    </w:p>
    <w:p w:rsidR="008E091C" w:rsidRDefault="008E091C" w:rsidP="008E091C">
      <w:pPr>
        <w:autoSpaceDE w:val="0"/>
        <w:autoSpaceDN w:val="0"/>
        <w:adjustRightInd w:val="0"/>
        <w:spacing w:after="0" w:line="360" w:lineRule="auto"/>
        <w:jc w:val="center"/>
        <w:rPr>
          <w:b/>
          <w:iCs/>
          <w:color w:val="000000"/>
          <w:sz w:val="28"/>
          <w:szCs w:val="28"/>
        </w:rPr>
      </w:pPr>
    </w:p>
    <w:p w:rsidR="008E091C" w:rsidRPr="00061D28" w:rsidRDefault="008E091C" w:rsidP="008E091C">
      <w:pPr>
        <w:autoSpaceDE w:val="0"/>
        <w:autoSpaceDN w:val="0"/>
        <w:adjustRightInd w:val="0"/>
        <w:spacing w:after="0" w:line="360" w:lineRule="auto"/>
        <w:jc w:val="center"/>
        <w:rPr>
          <w:b/>
          <w:iCs/>
          <w:color w:val="000000"/>
          <w:sz w:val="28"/>
          <w:szCs w:val="28"/>
        </w:rPr>
      </w:pPr>
      <w:r w:rsidRPr="00061D28">
        <w:rPr>
          <w:b/>
          <w:iCs/>
          <w:color w:val="000000"/>
          <w:sz w:val="28"/>
          <w:szCs w:val="28"/>
        </w:rPr>
        <w:t>Калинин П.Л., Кадашев Б.А., Фомичев Д.В, Кутин М.А.</w:t>
      </w:r>
      <w:r>
        <w:rPr>
          <w:b/>
          <w:iCs/>
          <w:color w:val="000000"/>
          <w:sz w:val="28"/>
          <w:szCs w:val="28"/>
        </w:rPr>
        <w:t>, Астафьева Л.И.</w:t>
      </w:r>
    </w:p>
    <w:p w:rsidR="008E091C" w:rsidRDefault="008E091C" w:rsidP="00B71FFE">
      <w:pPr>
        <w:spacing w:after="120" w:line="360" w:lineRule="auto"/>
        <w:jc w:val="center"/>
        <w:rPr>
          <w:b/>
          <w:sz w:val="28"/>
          <w:szCs w:val="28"/>
        </w:rPr>
      </w:pPr>
    </w:p>
    <w:p w:rsidR="00B71FFE" w:rsidRPr="00061D28" w:rsidRDefault="007F46EB" w:rsidP="00B71FFE">
      <w:pPr>
        <w:spacing w:after="120" w:line="360" w:lineRule="auto"/>
        <w:jc w:val="center"/>
        <w:rPr>
          <w:b/>
          <w:sz w:val="28"/>
          <w:szCs w:val="28"/>
        </w:rPr>
      </w:pPr>
      <w:bookmarkStart w:id="0" w:name="_GoBack"/>
      <w:r w:rsidRPr="00061D28">
        <w:rPr>
          <w:b/>
          <w:sz w:val="28"/>
          <w:szCs w:val="28"/>
        </w:rPr>
        <w:t>Клинические рекомендации</w:t>
      </w:r>
    </w:p>
    <w:p w:rsidR="00B71FFE" w:rsidRPr="008E091C" w:rsidRDefault="007F46EB" w:rsidP="00B71FFE">
      <w:pPr>
        <w:spacing w:after="120" w:line="360" w:lineRule="auto"/>
        <w:jc w:val="center"/>
        <w:rPr>
          <w:b/>
          <w:sz w:val="28"/>
          <w:szCs w:val="28"/>
        </w:rPr>
      </w:pPr>
      <w:r w:rsidRPr="008E091C">
        <w:rPr>
          <w:b/>
          <w:sz w:val="28"/>
          <w:szCs w:val="28"/>
        </w:rPr>
        <w:t>«хирургическое лечение аденом гипофиза».</w:t>
      </w:r>
    </w:p>
    <w:bookmarkEnd w:id="0"/>
    <w:p w:rsidR="00B71FFE" w:rsidRPr="00061D28" w:rsidRDefault="00B71FFE" w:rsidP="00B71FFE">
      <w:pPr>
        <w:autoSpaceDE w:val="0"/>
        <w:autoSpaceDN w:val="0"/>
        <w:adjustRightInd w:val="0"/>
        <w:spacing w:after="0" w:line="360" w:lineRule="auto"/>
        <w:jc w:val="center"/>
        <w:rPr>
          <w:b/>
          <w:iCs/>
          <w:color w:val="000000"/>
          <w:sz w:val="28"/>
          <w:szCs w:val="28"/>
        </w:rPr>
      </w:pPr>
    </w:p>
    <w:p w:rsidR="00B71FFE" w:rsidRPr="00061D28" w:rsidRDefault="00B71FFE" w:rsidP="00B71FFE">
      <w:pPr>
        <w:autoSpaceDE w:val="0"/>
        <w:autoSpaceDN w:val="0"/>
        <w:adjustRightInd w:val="0"/>
        <w:spacing w:after="0" w:line="360" w:lineRule="auto"/>
        <w:jc w:val="center"/>
        <w:rPr>
          <w:i/>
          <w:iCs/>
          <w:color w:val="000000"/>
          <w:sz w:val="28"/>
          <w:szCs w:val="28"/>
        </w:rPr>
      </w:pPr>
    </w:p>
    <w:p w:rsid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8E091C" w:rsidRP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</w:rPr>
      </w:pPr>
      <w:r w:rsidRPr="008E091C">
        <w:rPr>
          <w:rFonts w:cs="Arial"/>
          <w:b/>
          <w:bCs/>
          <w:iCs/>
          <w:color w:val="000000"/>
          <w:sz w:val="28"/>
          <w:szCs w:val="28"/>
        </w:rPr>
        <w:t>Москва, 2014 г.</w:t>
      </w:r>
    </w:p>
    <w:p w:rsidR="008E091C" w:rsidRDefault="008E091C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F2596A" w:rsidRPr="00F2596A" w:rsidRDefault="00F2596A" w:rsidP="00F2596A">
      <w:pPr>
        <w:jc w:val="center"/>
        <w:rPr>
          <w:b/>
          <w:sz w:val="24"/>
          <w:szCs w:val="24"/>
        </w:rPr>
      </w:pPr>
      <w:r w:rsidRPr="00F2596A">
        <w:rPr>
          <w:b/>
          <w:sz w:val="24"/>
          <w:szCs w:val="24"/>
        </w:rPr>
        <w:lastRenderedPageBreak/>
        <w:t>Определение понятий</w:t>
      </w:r>
    </w:p>
    <w:p w:rsidR="00F2596A" w:rsidRPr="00F2596A" w:rsidRDefault="00F2596A" w:rsidP="00F2596A">
      <w:pPr>
        <w:spacing w:after="0"/>
        <w:jc w:val="both"/>
        <w:rPr>
          <w:b/>
          <w:sz w:val="24"/>
          <w:szCs w:val="24"/>
        </w:rPr>
      </w:pPr>
      <w:r w:rsidRPr="00F2596A">
        <w:rPr>
          <w:b/>
          <w:sz w:val="24"/>
          <w:szCs w:val="24"/>
          <w:u w:val="single"/>
        </w:rPr>
        <w:t>Стандарт.</w:t>
      </w:r>
    </w:p>
    <w:p w:rsidR="00F2596A" w:rsidRDefault="00F2596A" w:rsidP="00F2596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Общепризнанные принципы диагностики и лечения, которые могут рассматриваться в качестве обязательной лечебной тактики (эффективность  подтверждена несколькими рандомизированными исследованиями, мета-анализами или когортными клиническими исследованиями).</w:t>
      </w:r>
    </w:p>
    <w:p w:rsidR="00F2596A" w:rsidRPr="00F2596A" w:rsidRDefault="00F2596A" w:rsidP="00F2596A">
      <w:pPr>
        <w:spacing w:after="0"/>
        <w:jc w:val="both"/>
        <w:rPr>
          <w:b/>
          <w:sz w:val="24"/>
          <w:szCs w:val="24"/>
          <w:u w:val="single"/>
        </w:rPr>
      </w:pPr>
      <w:r w:rsidRPr="00F2596A">
        <w:rPr>
          <w:b/>
          <w:sz w:val="24"/>
          <w:szCs w:val="24"/>
          <w:u w:val="single"/>
        </w:rPr>
        <w:t>Рекомендация.</w:t>
      </w:r>
    </w:p>
    <w:p w:rsidR="00F2596A" w:rsidRDefault="00F2596A" w:rsidP="00F2596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Лечебные и диагностические мероприятия, рекомендованные к использованию большинством экспертов по данным вопросам. Могут рассматриваться как варианты выбора лечения в конкретных клинических ситуациях (эффективность подтверждена отдельными рандомизированными исследованиями или когортными клиническими исследованиями).</w:t>
      </w:r>
    </w:p>
    <w:p w:rsidR="00F2596A" w:rsidRPr="00F2596A" w:rsidRDefault="00F2596A" w:rsidP="00F2596A">
      <w:pPr>
        <w:spacing w:after="0"/>
        <w:jc w:val="both"/>
        <w:rPr>
          <w:b/>
          <w:sz w:val="24"/>
          <w:szCs w:val="24"/>
          <w:u w:val="single"/>
        </w:rPr>
      </w:pPr>
      <w:r w:rsidRPr="00F2596A">
        <w:rPr>
          <w:b/>
          <w:sz w:val="24"/>
          <w:szCs w:val="24"/>
          <w:u w:val="single"/>
        </w:rPr>
        <w:t>Опция.</w:t>
      </w:r>
    </w:p>
    <w:p w:rsidR="00F2596A" w:rsidRDefault="00F2596A" w:rsidP="00F2596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Лечебные или диагностические мероприятия, которые могут быть полезны (эффективность подтверждена мнением отдельных экспертов, в отдельных клинических случаях).</w:t>
      </w:r>
    </w:p>
    <w:p w:rsidR="00F2596A" w:rsidRPr="00F2596A" w:rsidRDefault="00F2596A" w:rsidP="00F2596A">
      <w:pPr>
        <w:spacing w:after="0"/>
        <w:jc w:val="both"/>
        <w:rPr>
          <w:b/>
          <w:sz w:val="24"/>
          <w:szCs w:val="24"/>
          <w:u w:val="single"/>
        </w:rPr>
      </w:pPr>
      <w:r w:rsidRPr="00F2596A">
        <w:rPr>
          <w:b/>
          <w:sz w:val="24"/>
          <w:szCs w:val="24"/>
          <w:u w:val="single"/>
        </w:rPr>
        <w:t>Не рекомендуется.</w:t>
      </w:r>
    </w:p>
    <w:p w:rsidR="00F2596A" w:rsidRDefault="00F2596A" w:rsidP="00F2596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Лечебные и диагностические мероприятия, не имеющие положительного эффекта или могущие принести вред (любой уровень подтверждения).</w:t>
      </w:r>
    </w:p>
    <w:p w:rsidR="00F2596A" w:rsidRDefault="00F2596A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</w:p>
    <w:p w:rsidR="00B71FFE" w:rsidRPr="0055222D" w:rsidRDefault="00B71FFE" w:rsidP="00B71FF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  <w:r w:rsidRPr="0055222D">
        <w:rPr>
          <w:rFonts w:cs="Arial"/>
          <w:b/>
          <w:bCs/>
          <w:iCs/>
          <w:color w:val="000000"/>
          <w:sz w:val="28"/>
          <w:szCs w:val="28"/>
          <w:u w:val="single"/>
        </w:rPr>
        <w:t>Общие сведения.</w:t>
      </w:r>
    </w:p>
    <w:p w:rsidR="005D6BD5" w:rsidRPr="00061D28" w:rsidRDefault="00B71FFE" w:rsidP="005D6BD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Аденомы гипофиза </w:t>
      </w:r>
      <w:r w:rsidR="00066D47" w:rsidRPr="00061D28">
        <w:rPr>
          <w:iCs/>
          <w:color w:val="000000"/>
          <w:sz w:val="28"/>
          <w:szCs w:val="28"/>
        </w:rPr>
        <w:t xml:space="preserve">занимают третье место среди всех опухолей ЦНС и по данным различных авторов </w:t>
      </w:r>
      <w:r w:rsidRPr="00061D28">
        <w:rPr>
          <w:iCs/>
          <w:color w:val="000000"/>
          <w:sz w:val="28"/>
          <w:szCs w:val="28"/>
        </w:rPr>
        <w:t xml:space="preserve">составляют </w:t>
      </w:r>
      <w:r w:rsidR="00066D47" w:rsidRPr="00061D28">
        <w:rPr>
          <w:iCs/>
          <w:color w:val="000000"/>
          <w:sz w:val="28"/>
          <w:szCs w:val="28"/>
        </w:rPr>
        <w:t xml:space="preserve">от 7 до 18% всех внутричерепных </w:t>
      </w:r>
      <w:r w:rsidR="005D6BD5" w:rsidRPr="00061D28">
        <w:rPr>
          <w:iCs/>
          <w:color w:val="000000"/>
          <w:sz w:val="28"/>
          <w:szCs w:val="28"/>
        </w:rPr>
        <w:t>новообразований</w:t>
      </w:r>
      <w:r w:rsidR="008030A8" w:rsidRPr="008030A8">
        <w:rPr>
          <w:iCs/>
          <w:color w:val="000000"/>
          <w:sz w:val="28"/>
          <w:szCs w:val="28"/>
        </w:rPr>
        <w:t xml:space="preserve"> [1,2,5,6,</w:t>
      </w:r>
      <w:r w:rsidR="0055222D">
        <w:rPr>
          <w:iCs/>
          <w:color w:val="000000"/>
          <w:sz w:val="28"/>
          <w:szCs w:val="28"/>
        </w:rPr>
        <w:t>8</w:t>
      </w:r>
      <w:r w:rsidR="008030A8" w:rsidRPr="008030A8">
        <w:rPr>
          <w:iCs/>
          <w:color w:val="000000"/>
          <w:sz w:val="28"/>
          <w:szCs w:val="28"/>
        </w:rPr>
        <w:t>,1</w:t>
      </w:r>
      <w:r w:rsidR="0055222D">
        <w:rPr>
          <w:iCs/>
          <w:color w:val="000000"/>
          <w:sz w:val="28"/>
          <w:szCs w:val="28"/>
        </w:rPr>
        <w:t>0,13,</w:t>
      </w:r>
      <w:r w:rsidR="008030A8" w:rsidRPr="008030A8">
        <w:rPr>
          <w:iCs/>
          <w:color w:val="000000"/>
          <w:sz w:val="28"/>
          <w:szCs w:val="28"/>
        </w:rPr>
        <w:t>15</w:t>
      </w:r>
      <w:r w:rsidR="0055222D">
        <w:rPr>
          <w:iCs/>
          <w:color w:val="000000"/>
          <w:sz w:val="28"/>
          <w:szCs w:val="28"/>
        </w:rPr>
        <w:t>,17</w:t>
      </w:r>
      <w:r w:rsidR="008030A8" w:rsidRPr="008030A8">
        <w:rPr>
          <w:iCs/>
          <w:color w:val="000000"/>
          <w:sz w:val="28"/>
          <w:szCs w:val="28"/>
        </w:rPr>
        <w:t>]</w:t>
      </w:r>
      <w:r w:rsidRPr="00061D28">
        <w:rPr>
          <w:iCs/>
          <w:color w:val="000000"/>
          <w:sz w:val="28"/>
          <w:szCs w:val="28"/>
        </w:rPr>
        <w:t>. Чаще всего они проявляются в</w:t>
      </w:r>
      <w:r w:rsidR="00066D47" w:rsidRPr="00061D28">
        <w:rPr>
          <w:iCs/>
          <w:color w:val="000000"/>
          <w:sz w:val="28"/>
          <w:szCs w:val="28"/>
        </w:rPr>
        <w:t xml:space="preserve"> наиболее работоспособном возрасте от 20 до 50 лет</w:t>
      </w:r>
      <w:r w:rsidRPr="00061D28">
        <w:rPr>
          <w:iCs/>
          <w:color w:val="000000"/>
          <w:sz w:val="28"/>
          <w:szCs w:val="28"/>
        </w:rPr>
        <w:t>, одинаково часто у мужчин и женщин.</w:t>
      </w:r>
      <w:r w:rsidR="000A0357" w:rsidRPr="00061D28">
        <w:rPr>
          <w:iCs/>
          <w:color w:val="000000"/>
          <w:sz w:val="28"/>
          <w:szCs w:val="28"/>
        </w:rPr>
        <w:t xml:space="preserve"> По данным эпидемиологических исследований, распространённость клинических случаев аденом гипофиза </w:t>
      </w:r>
      <w:r w:rsidR="00066D47" w:rsidRPr="00061D28">
        <w:rPr>
          <w:iCs/>
          <w:color w:val="000000"/>
          <w:sz w:val="28"/>
          <w:szCs w:val="28"/>
        </w:rPr>
        <w:t>составляет</w:t>
      </w:r>
      <w:r w:rsidR="000A0357" w:rsidRPr="00061D28">
        <w:rPr>
          <w:iCs/>
          <w:color w:val="000000"/>
          <w:sz w:val="28"/>
          <w:szCs w:val="28"/>
        </w:rPr>
        <w:t xml:space="preserve"> 1,6 на 100000 человек населения. </w:t>
      </w:r>
      <w:r w:rsidR="00066D47" w:rsidRPr="00061D28">
        <w:rPr>
          <w:iCs/>
          <w:color w:val="000000"/>
          <w:sz w:val="28"/>
          <w:szCs w:val="28"/>
        </w:rPr>
        <w:t>Согласно статистическим данным ежегодно в России и странах СНГ выявляется около 3 тысяч вновь заболевших человек</w:t>
      </w:r>
      <w:r w:rsidR="008030A8" w:rsidRPr="008030A8">
        <w:rPr>
          <w:iCs/>
          <w:color w:val="000000"/>
          <w:sz w:val="28"/>
          <w:szCs w:val="28"/>
        </w:rPr>
        <w:t xml:space="preserve"> [1,</w:t>
      </w:r>
      <w:r w:rsidR="0055222D">
        <w:rPr>
          <w:iCs/>
          <w:color w:val="000000"/>
          <w:sz w:val="28"/>
          <w:szCs w:val="28"/>
        </w:rPr>
        <w:t>6,7</w:t>
      </w:r>
      <w:r w:rsidR="008030A8" w:rsidRPr="008030A8">
        <w:rPr>
          <w:iCs/>
          <w:color w:val="000000"/>
          <w:sz w:val="28"/>
          <w:szCs w:val="28"/>
        </w:rPr>
        <w:t>]</w:t>
      </w:r>
      <w:r w:rsidR="00066D47" w:rsidRPr="00061D28">
        <w:rPr>
          <w:iCs/>
          <w:color w:val="000000"/>
          <w:sz w:val="28"/>
          <w:szCs w:val="28"/>
        </w:rPr>
        <w:t xml:space="preserve">. </w:t>
      </w:r>
    </w:p>
    <w:p w:rsidR="005D6BD5" w:rsidRPr="00061D28" w:rsidRDefault="005D6BD5" w:rsidP="005D6BD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Аденомы гипофиза по морфологическим данным — это </w:t>
      </w:r>
      <w:r w:rsidR="00B87BA4">
        <w:rPr>
          <w:iCs/>
          <w:color w:val="000000"/>
          <w:sz w:val="28"/>
          <w:szCs w:val="28"/>
        </w:rPr>
        <w:t xml:space="preserve">чаще </w:t>
      </w:r>
      <w:r w:rsidRPr="00061D28">
        <w:rPr>
          <w:iCs/>
          <w:color w:val="000000"/>
          <w:sz w:val="28"/>
          <w:szCs w:val="28"/>
        </w:rPr>
        <w:t xml:space="preserve">доброкачественные  медленно прогрессирующие опухоли, однако их рост сопровождается эндокринными, неврологическими и </w:t>
      </w:r>
      <w:r w:rsidRPr="00061D28">
        <w:rPr>
          <w:iCs/>
          <w:color w:val="000000"/>
          <w:sz w:val="28"/>
          <w:szCs w:val="28"/>
        </w:rPr>
        <w:lastRenderedPageBreak/>
        <w:t>нейроофтальмологическими нарушениями, что и является причиной обращения пациентов за медицинской помощью</w:t>
      </w:r>
      <w:r w:rsidR="008030A8" w:rsidRPr="008030A8">
        <w:rPr>
          <w:iCs/>
          <w:color w:val="000000"/>
          <w:sz w:val="28"/>
          <w:szCs w:val="28"/>
        </w:rPr>
        <w:t xml:space="preserve"> </w:t>
      </w:r>
      <w:r w:rsidR="008030A8" w:rsidRPr="00B87BA4">
        <w:rPr>
          <w:iCs/>
          <w:color w:val="000000"/>
          <w:sz w:val="28"/>
          <w:szCs w:val="28"/>
        </w:rPr>
        <w:t>[1,10]</w:t>
      </w:r>
      <w:r w:rsidRPr="00061D28">
        <w:rPr>
          <w:iCs/>
          <w:color w:val="000000"/>
          <w:sz w:val="28"/>
          <w:szCs w:val="28"/>
        </w:rPr>
        <w:t>.</w:t>
      </w:r>
    </w:p>
    <w:p w:rsidR="000A0357" w:rsidRPr="00061D28" w:rsidRDefault="005D6BD5" w:rsidP="00066D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b/>
          <w:bCs/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Х</w:t>
      </w:r>
      <w:r w:rsidR="00066D47" w:rsidRPr="00061D28">
        <w:rPr>
          <w:iCs/>
          <w:color w:val="000000"/>
          <w:sz w:val="28"/>
          <w:szCs w:val="28"/>
        </w:rPr>
        <w:t>ирургическое лечение пациентов с аденомами гипофиза является серьезной проблемой современной нейрохирургии как из-за значительного количества больных, так и в связи с тем, что вовлечение в патологический процесс важнейших анатомических структур обуславливает сложность радикальной резекции опухоли при минимальном количестве осложнений</w:t>
      </w:r>
      <w:r w:rsidR="00B87BA4">
        <w:rPr>
          <w:iCs/>
          <w:color w:val="000000"/>
          <w:sz w:val="28"/>
          <w:szCs w:val="28"/>
        </w:rPr>
        <w:t xml:space="preserve"> </w:t>
      </w:r>
      <w:r w:rsidR="00B87BA4" w:rsidRPr="00B87BA4">
        <w:rPr>
          <w:iCs/>
          <w:color w:val="000000"/>
          <w:sz w:val="28"/>
          <w:szCs w:val="28"/>
        </w:rPr>
        <w:t>[1,5-7,10,12]</w:t>
      </w:r>
      <w:r w:rsidR="00066D47" w:rsidRPr="00061D28">
        <w:rPr>
          <w:iCs/>
          <w:color w:val="000000"/>
          <w:sz w:val="28"/>
          <w:szCs w:val="28"/>
        </w:rPr>
        <w:t>.</w:t>
      </w:r>
    </w:p>
    <w:p w:rsidR="000A0357" w:rsidRPr="0055222D" w:rsidRDefault="000A0357" w:rsidP="000A035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Arial"/>
          <w:b/>
          <w:bCs/>
          <w:iCs/>
          <w:color w:val="000000"/>
          <w:sz w:val="28"/>
          <w:szCs w:val="28"/>
          <w:u w:val="single"/>
        </w:rPr>
      </w:pPr>
      <w:r w:rsidRPr="0055222D">
        <w:rPr>
          <w:rFonts w:cs="Arial"/>
          <w:b/>
          <w:bCs/>
          <w:iCs/>
          <w:color w:val="000000"/>
          <w:sz w:val="28"/>
          <w:szCs w:val="28"/>
          <w:u w:val="single"/>
        </w:rPr>
        <w:t xml:space="preserve">Классификация аденом гипофиза. </w:t>
      </w:r>
    </w:p>
    <w:p w:rsidR="000A0357" w:rsidRPr="00061D28" w:rsidRDefault="000A0357" w:rsidP="000A0357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Существует</w:t>
      </w:r>
      <w:r w:rsidR="005B4117" w:rsidRPr="00061D28">
        <w:rPr>
          <w:iCs/>
          <w:color w:val="000000"/>
          <w:sz w:val="28"/>
          <w:szCs w:val="28"/>
        </w:rPr>
        <w:t xml:space="preserve"> большое количество </w:t>
      </w:r>
      <w:r w:rsidRPr="00061D28">
        <w:rPr>
          <w:iCs/>
          <w:color w:val="000000"/>
          <w:sz w:val="28"/>
          <w:szCs w:val="28"/>
        </w:rPr>
        <w:t>различны</w:t>
      </w:r>
      <w:r w:rsidR="005B4117" w:rsidRPr="00061D28">
        <w:rPr>
          <w:iCs/>
          <w:color w:val="000000"/>
          <w:sz w:val="28"/>
          <w:szCs w:val="28"/>
        </w:rPr>
        <w:t>х</w:t>
      </w:r>
      <w:r w:rsidRPr="00061D28">
        <w:rPr>
          <w:iCs/>
          <w:color w:val="000000"/>
          <w:sz w:val="28"/>
          <w:szCs w:val="28"/>
        </w:rPr>
        <w:t xml:space="preserve"> взаимодополняющи</w:t>
      </w:r>
      <w:r w:rsidR="005B4117" w:rsidRPr="00061D28">
        <w:rPr>
          <w:iCs/>
          <w:color w:val="000000"/>
          <w:sz w:val="28"/>
          <w:szCs w:val="28"/>
        </w:rPr>
        <w:t>х</w:t>
      </w:r>
      <w:r w:rsidRPr="00061D28">
        <w:rPr>
          <w:iCs/>
          <w:color w:val="000000"/>
          <w:sz w:val="28"/>
          <w:szCs w:val="28"/>
        </w:rPr>
        <w:t xml:space="preserve"> классификаци</w:t>
      </w:r>
      <w:r w:rsidR="005B4117" w:rsidRPr="00061D28">
        <w:rPr>
          <w:iCs/>
          <w:color w:val="000000"/>
          <w:sz w:val="28"/>
          <w:szCs w:val="28"/>
        </w:rPr>
        <w:t>й</w:t>
      </w:r>
      <w:r w:rsidRPr="00061D28">
        <w:rPr>
          <w:iCs/>
          <w:color w:val="000000"/>
          <w:sz w:val="28"/>
          <w:szCs w:val="28"/>
        </w:rPr>
        <w:t xml:space="preserve"> аденом гипофиза по</w:t>
      </w:r>
      <w:r w:rsidR="001601BE">
        <w:rPr>
          <w:iCs/>
          <w:color w:val="000000"/>
          <w:sz w:val="28"/>
          <w:szCs w:val="28"/>
        </w:rPr>
        <w:t xml:space="preserve"> гистологической природе,</w:t>
      </w:r>
      <w:r w:rsidRPr="00061D28">
        <w:rPr>
          <w:iCs/>
          <w:color w:val="000000"/>
          <w:sz w:val="28"/>
          <w:szCs w:val="28"/>
        </w:rPr>
        <w:t xml:space="preserve"> размерам, локализации, гормональной активности опухолей. Ниже представлены основные клинические классификации аденом гипофиза</w:t>
      </w:r>
      <w:r w:rsidR="005B4117" w:rsidRPr="00061D28">
        <w:rPr>
          <w:iCs/>
          <w:color w:val="000000"/>
          <w:sz w:val="28"/>
          <w:szCs w:val="28"/>
        </w:rPr>
        <w:t>, наиболее удобные во врачебной практике, являющиеся основной построения клинического диагноза</w:t>
      </w:r>
      <w:r w:rsidRPr="00061D28">
        <w:rPr>
          <w:iCs/>
          <w:color w:val="000000"/>
          <w:sz w:val="28"/>
          <w:szCs w:val="28"/>
        </w:rPr>
        <w:t>.</w:t>
      </w:r>
    </w:p>
    <w:p w:rsidR="000A0357" w:rsidRPr="00061D28" w:rsidRDefault="000A0357" w:rsidP="000A03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iCs/>
          <w:color w:val="000000"/>
          <w:sz w:val="28"/>
          <w:szCs w:val="28"/>
          <w:u w:val="single"/>
        </w:rPr>
      </w:pPr>
      <w:r w:rsidRPr="00061D28">
        <w:rPr>
          <w:iCs/>
          <w:color w:val="000000"/>
          <w:sz w:val="28"/>
          <w:szCs w:val="28"/>
          <w:u w:val="single"/>
        </w:rPr>
        <w:t xml:space="preserve">Классификация аденом гипофиза по размеру: </w:t>
      </w:r>
    </w:p>
    <w:p w:rsidR="000A0357" w:rsidRPr="00061D28" w:rsidRDefault="000A0357" w:rsidP="000A03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микроаденомы (нет изменений размеров турецкого седла);</w:t>
      </w:r>
    </w:p>
    <w:p w:rsidR="000A0357" w:rsidRPr="00061D28" w:rsidRDefault="000A0357" w:rsidP="000A03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небольшие (16 – 25 мм);</w:t>
      </w:r>
    </w:p>
    <w:p w:rsidR="000A0357" w:rsidRPr="00061D28" w:rsidRDefault="000A0357" w:rsidP="000A03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средние (26 – 35 мм);</w:t>
      </w:r>
    </w:p>
    <w:p w:rsidR="000A0357" w:rsidRPr="00061D28" w:rsidRDefault="000A0357" w:rsidP="000A03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большие (36 – 59 мм);</w:t>
      </w:r>
    </w:p>
    <w:p w:rsidR="000A0357" w:rsidRPr="00061D28" w:rsidRDefault="000A0357" w:rsidP="000A03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гигантские (больше 60 мм).</w:t>
      </w:r>
    </w:p>
    <w:p w:rsidR="000A0357" w:rsidRPr="00061D28" w:rsidRDefault="000A0357" w:rsidP="000A0357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  <w:u w:val="single"/>
        </w:rPr>
      </w:pPr>
      <w:r w:rsidRPr="00061D28">
        <w:rPr>
          <w:iCs/>
          <w:color w:val="000000"/>
          <w:sz w:val="28"/>
          <w:szCs w:val="28"/>
          <w:u w:val="single"/>
        </w:rPr>
        <w:t xml:space="preserve">Топографоанатомическая классификация аденом гипофиза: </w:t>
      </w:r>
    </w:p>
    <w:p w:rsidR="000A0357" w:rsidRPr="00061D28" w:rsidRDefault="000A0357" w:rsidP="000A0357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Эндоселлярные аденомы – опухоли, не выходящие за пределы турецкого седла. </w:t>
      </w:r>
    </w:p>
    <w:p w:rsidR="000A0357" w:rsidRPr="00061D28" w:rsidRDefault="000A0357" w:rsidP="000A0357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Эндоэкстраселлярные аденомы – с распространением опухоли за пределы турецкого седла. </w:t>
      </w:r>
    </w:p>
    <w:p w:rsidR="000A0357" w:rsidRPr="00061D28" w:rsidRDefault="000A0357" w:rsidP="005D6BD5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lastRenderedPageBreak/>
        <w:t>Супраселлярный рост – распространение опухоли в полость черепа.</w:t>
      </w:r>
    </w:p>
    <w:p w:rsidR="000A0357" w:rsidRPr="00061D28" w:rsidRDefault="000A0357" w:rsidP="005D6BD5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Латероселлярный рост – распространение опухоли в кавернозный синус и/или под ТМО, выстилающую дно средней черепной ямки.</w:t>
      </w:r>
    </w:p>
    <w:p w:rsidR="000A0357" w:rsidRPr="00061D28" w:rsidRDefault="000A0357" w:rsidP="005D6BD5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Инфраселлярный рост – распространение опухоли в основную пазуху и/ или в носоглотку. </w:t>
      </w:r>
    </w:p>
    <w:p w:rsidR="000A0357" w:rsidRPr="00061D28" w:rsidRDefault="000A0357" w:rsidP="005D6BD5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Антеселлярый рост – распространение опухоли в решетчатый лабиринт и/или орбиту. </w:t>
      </w:r>
    </w:p>
    <w:p w:rsidR="005D6BD5" w:rsidRPr="00061D28" w:rsidRDefault="005D6BD5" w:rsidP="005D6BD5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Ретроселлярный рост – распространение опухоли </w:t>
      </w:r>
      <w:r w:rsidR="005B4117" w:rsidRPr="00061D28">
        <w:rPr>
          <w:iCs/>
          <w:color w:val="000000"/>
          <w:sz w:val="28"/>
          <w:szCs w:val="28"/>
        </w:rPr>
        <w:t>в ЗЧЯ, под ТМО ската,</w:t>
      </w:r>
    </w:p>
    <w:p w:rsidR="000A0357" w:rsidRPr="00061D28" w:rsidRDefault="000A0357" w:rsidP="000A0357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  <w:u w:val="single"/>
        </w:rPr>
      </w:pPr>
      <w:r w:rsidRPr="00061D28">
        <w:rPr>
          <w:iCs/>
          <w:color w:val="000000"/>
          <w:sz w:val="28"/>
          <w:szCs w:val="28"/>
          <w:u w:val="single"/>
        </w:rPr>
        <w:t>Классификация аденом гипофиза по гормональной активности:</w:t>
      </w:r>
    </w:p>
    <w:p w:rsidR="000A0357" w:rsidRPr="00061D28" w:rsidRDefault="000A0357" w:rsidP="000A0357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Гормонально-неактивные аденомы гипофиза</w:t>
      </w:r>
    </w:p>
    <w:p w:rsidR="000A0357" w:rsidRPr="00061D28" w:rsidRDefault="000A0357" w:rsidP="000A0357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Гормонально-активные аденомы гипофиза</w:t>
      </w:r>
    </w:p>
    <w:p w:rsidR="000A0357" w:rsidRPr="00061D28" w:rsidRDefault="001601BE" w:rsidP="000A0357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ПРЛ</w:t>
      </w:r>
      <w:r w:rsidR="000A0357" w:rsidRPr="00061D28">
        <w:rPr>
          <w:iCs/>
          <w:color w:val="000000"/>
          <w:sz w:val="28"/>
          <w:szCs w:val="28"/>
        </w:rPr>
        <w:t xml:space="preserve"> – секретирующие</w:t>
      </w:r>
    </w:p>
    <w:p w:rsidR="000A0357" w:rsidRPr="00061D28" w:rsidRDefault="000A0357" w:rsidP="000A0357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СТГ – секретирующие</w:t>
      </w:r>
    </w:p>
    <w:p w:rsidR="000A0357" w:rsidRPr="00061D28" w:rsidRDefault="000A0357" w:rsidP="000A0357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АКТГ – секретирующие</w:t>
      </w:r>
    </w:p>
    <w:p w:rsidR="000A0357" w:rsidRPr="00061D28" w:rsidRDefault="000A0357" w:rsidP="000A0357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ТТГ – секретирующие</w:t>
      </w:r>
    </w:p>
    <w:p w:rsidR="000A0357" w:rsidRPr="00061D28" w:rsidRDefault="000A0357" w:rsidP="000A0357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Смешанные формы</w:t>
      </w:r>
    </w:p>
    <w:p w:rsidR="001601BE" w:rsidRDefault="001601BE" w:rsidP="000A0357">
      <w:pPr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</w:p>
    <w:p w:rsidR="000A0357" w:rsidRPr="0055222D" w:rsidRDefault="000A0357" w:rsidP="000A0357">
      <w:pPr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  <w:u w:val="single"/>
        </w:rPr>
      </w:pPr>
      <w:r w:rsidRPr="0055222D">
        <w:rPr>
          <w:b/>
          <w:iCs/>
          <w:color w:val="000000"/>
          <w:sz w:val="28"/>
          <w:szCs w:val="28"/>
          <w:u w:val="single"/>
        </w:rPr>
        <w:t>Методы диагностики.</w:t>
      </w:r>
    </w:p>
    <w:p w:rsidR="000A0357" w:rsidRDefault="000A0357" w:rsidP="000A0357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Все больные с подозрением на аденому гипофиза должны быть обследованы по единому</w:t>
      </w:r>
      <w:r w:rsidR="00A33E0D">
        <w:rPr>
          <w:iCs/>
          <w:color w:val="000000"/>
          <w:sz w:val="28"/>
          <w:szCs w:val="28"/>
        </w:rPr>
        <w:t xml:space="preserve"> стандартному</w:t>
      </w:r>
      <w:r w:rsidRPr="00061D28">
        <w:rPr>
          <w:iCs/>
          <w:color w:val="000000"/>
          <w:sz w:val="28"/>
          <w:szCs w:val="28"/>
        </w:rPr>
        <w:t xml:space="preserve"> плану, включающему клинические, лабораторные методы и методы нейровизуализации.</w:t>
      </w:r>
      <w:r w:rsidR="00BE64D7">
        <w:rPr>
          <w:iCs/>
          <w:color w:val="000000"/>
          <w:sz w:val="28"/>
          <w:szCs w:val="28"/>
        </w:rPr>
        <w:t xml:space="preserve"> </w:t>
      </w:r>
    </w:p>
    <w:p w:rsidR="00BE64D7" w:rsidRPr="00BE64D7" w:rsidRDefault="00BE64D7" w:rsidP="00BE64D7">
      <w:pPr>
        <w:autoSpaceDE w:val="0"/>
        <w:autoSpaceDN w:val="0"/>
        <w:adjustRightInd w:val="0"/>
        <w:spacing w:line="360" w:lineRule="auto"/>
        <w:jc w:val="right"/>
        <w:rPr>
          <w:b/>
          <w:iCs/>
          <w:color w:val="000000"/>
          <w:sz w:val="28"/>
          <w:szCs w:val="28"/>
          <w:u w:val="single"/>
        </w:rPr>
      </w:pPr>
      <w:r w:rsidRPr="00BE64D7">
        <w:rPr>
          <w:b/>
          <w:iCs/>
          <w:color w:val="000000"/>
          <w:sz w:val="28"/>
          <w:szCs w:val="28"/>
          <w:u w:val="single"/>
        </w:rPr>
        <w:t>СТАНДАРТ</w:t>
      </w:r>
    </w:p>
    <w:p w:rsidR="000A0357" w:rsidRPr="00061D28" w:rsidRDefault="000A0357" w:rsidP="000A0357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  <w:u w:val="single"/>
        </w:rPr>
      </w:pPr>
      <w:r w:rsidRPr="00061D28">
        <w:rPr>
          <w:iCs/>
          <w:color w:val="000000"/>
          <w:sz w:val="28"/>
          <w:szCs w:val="28"/>
          <w:u w:val="single"/>
        </w:rPr>
        <w:lastRenderedPageBreak/>
        <w:t>Клинические методы:</w:t>
      </w:r>
    </w:p>
    <w:p w:rsidR="000A0357" w:rsidRPr="00061D28" w:rsidRDefault="000A0357" w:rsidP="000A0357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Неврологический осмотр</w:t>
      </w:r>
      <w:r w:rsidR="00851789" w:rsidRPr="00061D28">
        <w:rPr>
          <w:iCs/>
          <w:color w:val="000000"/>
          <w:sz w:val="28"/>
          <w:szCs w:val="28"/>
        </w:rPr>
        <w:t>.</w:t>
      </w:r>
    </w:p>
    <w:p w:rsidR="000A0357" w:rsidRPr="00061D28" w:rsidRDefault="000A0357" w:rsidP="00851789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 xml:space="preserve">Нейроофтальмологический осмотр, включающий оценку остроты зрения, поля зрения, </w:t>
      </w:r>
      <w:r w:rsidR="00851789" w:rsidRPr="00061D28">
        <w:rPr>
          <w:iCs/>
          <w:color w:val="000000"/>
          <w:sz w:val="28"/>
          <w:szCs w:val="28"/>
        </w:rPr>
        <w:t xml:space="preserve">наличие и степень выраженности </w:t>
      </w:r>
      <w:r w:rsidRPr="00061D28">
        <w:rPr>
          <w:iCs/>
          <w:color w:val="000000"/>
          <w:sz w:val="28"/>
          <w:szCs w:val="28"/>
        </w:rPr>
        <w:t xml:space="preserve">глазодвигательных нарушений, исследование глазного дна. </w:t>
      </w:r>
    </w:p>
    <w:p w:rsidR="00851789" w:rsidRPr="00061D28" w:rsidRDefault="000A0357" w:rsidP="00851789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Осмотр оториноларинголога</w:t>
      </w:r>
      <w:r w:rsidR="00851789" w:rsidRPr="00061D28">
        <w:rPr>
          <w:iCs/>
          <w:color w:val="000000"/>
          <w:sz w:val="28"/>
          <w:szCs w:val="28"/>
        </w:rPr>
        <w:t xml:space="preserve">. Необходим в процессе подготовки больного к трансназальной эндоскопической операции. Оценивается </w:t>
      </w:r>
      <w:r w:rsidRPr="00061D28">
        <w:rPr>
          <w:iCs/>
          <w:color w:val="000000"/>
          <w:sz w:val="28"/>
          <w:szCs w:val="28"/>
        </w:rPr>
        <w:t>наличие воспалительных изменений в полости носа и околоносовых пазух, являющихся абсолютным противопоказанием к проведению трансназальных операций. Так же при ЛОР – осмотре оценива</w:t>
      </w:r>
      <w:r w:rsidR="00851789" w:rsidRPr="00061D28">
        <w:rPr>
          <w:iCs/>
          <w:color w:val="000000"/>
          <w:sz w:val="28"/>
          <w:szCs w:val="28"/>
        </w:rPr>
        <w:t>ются</w:t>
      </w:r>
      <w:r w:rsidRPr="00061D28">
        <w:rPr>
          <w:iCs/>
          <w:color w:val="000000"/>
          <w:sz w:val="28"/>
          <w:szCs w:val="28"/>
        </w:rPr>
        <w:t xml:space="preserve"> анатомическ</w:t>
      </w:r>
      <w:r w:rsidR="00851789" w:rsidRPr="00061D28">
        <w:rPr>
          <w:iCs/>
          <w:color w:val="000000"/>
          <w:sz w:val="28"/>
          <w:szCs w:val="28"/>
        </w:rPr>
        <w:t>ие</w:t>
      </w:r>
      <w:r w:rsidRPr="00061D28">
        <w:rPr>
          <w:iCs/>
          <w:color w:val="000000"/>
          <w:sz w:val="28"/>
          <w:szCs w:val="28"/>
        </w:rPr>
        <w:t xml:space="preserve"> особенности полости носа: степень гипертрофии носовых раковин, искривление перегородки носа, наличие костных шипов перегородки. </w:t>
      </w:r>
    </w:p>
    <w:p w:rsidR="000A0357" w:rsidRPr="00061D28" w:rsidRDefault="000A0357" w:rsidP="00851789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Эндокринологический статус</w:t>
      </w:r>
      <w:r w:rsidR="00851789" w:rsidRPr="00061D28">
        <w:rPr>
          <w:iCs/>
          <w:color w:val="000000"/>
          <w:sz w:val="28"/>
          <w:szCs w:val="28"/>
        </w:rPr>
        <w:t xml:space="preserve">. </w:t>
      </w:r>
      <w:r w:rsidRPr="00061D28">
        <w:rPr>
          <w:iCs/>
          <w:color w:val="000000"/>
          <w:sz w:val="28"/>
          <w:szCs w:val="28"/>
        </w:rPr>
        <w:t>При осмотре эндокринолога выявля</w:t>
      </w:r>
      <w:r w:rsidR="00851789" w:rsidRPr="00061D28">
        <w:rPr>
          <w:iCs/>
          <w:color w:val="000000"/>
          <w:sz w:val="28"/>
          <w:szCs w:val="28"/>
        </w:rPr>
        <w:t>ются</w:t>
      </w:r>
      <w:r w:rsidRPr="00061D28">
        <w:rPr>
          <w:iCs/>
          <w:color w:val="000000"/>
          <w:sz w:val="28"/>
          <w:szCs w:val="28"/>
        </w:rPr>
        <w:t xml:space="preserve"> гормональные нарушения, оценива</w:t>
      </w:r>
      <w:r w:rsidR="00851789" w:rsidRPr="00061D28">
        <w:rPr>
          <w:iCs/>
          <w:color w:val="000000"/>
          <w:sz w:val="28"/>
          <w:szCs w:val="28"/>
        </w:rPr>
        <w:t>ется</w:t>
      </w:r>
      <w:r w:rsidRPr="00061D28">
        <w:rPr>
          <w:iCs/>
          <w:color w:val="000000"/>
          <w:sz w:val="28"/>
          <w:szCs w:val="28"/>
        </w:rPr>
        <w:t xml:space="preserve"> степень их выраженности, производи</w:t>
      </w:r>
      <w:r w:rsidR="00851789" w:rsidRPr="00061D28">
        <w:rPr>
          <w:iCs/>
          <w:color w:val="000000"/>
          <w:sz w:val="28"/>
          <w:szCs w:val="28"/>
        </w:rPr>
        <w:t>тся</w:t>
      </w:r>
      <w:r w:rsidRPr="00061D28">
        <w:rPr>
          <w:iCs/>
          <w:color w:val="000000"/>
          <w:sz w:val="28"/>
          <w:szCs w:val="28"/>
        </w:rPr>
        <w:t xml:space="preserve"> их медикаментозная коррекция.</w:t>
      </w:r>
    </w:p>
    <w:p w:rsidR="000A0357" w:rsidRDefault="000A0357" w:rsidP="00851789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Осмотр анестезиолога</w:t>
      </w:r>
      <w:r w:rsidR="00851789" w:rsidRPr="00061D28">
        <w:rPr>
          <w:iCs/>
          <w:color w:val="000000"/>
          <w:sz w:val="28"/>
          <w:szCs w:val="28"/>
        </w:rPr>
        <w:t xml:space="preserve">. Необходим в процессе подготовки больного к трансназальной эндоскопической операции. </w:t>
      </w:r>
      <w:r w:rsidRPr="00061D28">
        <w:rPr>
          <w:iCs/>
          <w:color w:val="000000"/>
          <w:sz w:val="28"/>
          <w:szCs w:val="28"/>
        </w:rPr>
        <w:t>При анестезиологическом осмотре оценива</w:t>
      </w:r>
      <w:r w:rsidR="00851789" w:rsidRPr="00061D28">
        <w:rPr>
          <w:iCs/>
          <w:color w:val="000000"/>
          <w:sz w:val="28"/>
          <w:szCs w:val="28"/>
        </w:rPr>
        <w:t>ется</w:t>
      </w:r>
      <w:r w:rsidRPr="00061D28">
        <w:rPr>
          <w:iCs/>
          <w:color w:val="000000"/>
          <w:sz w:val="28"/>
          <w:szCs w:val="28"/>
        </w:rPr>
        <w:t xml:space="preserve"> с</w:t>
      </w:r>
      <w:r w:rsidR="00851789" w:rsidRPr="00061D28">
        <w:rPr>
          <w:iCs/>
          <w:color w:val="000000"/>
          <w:sz w:val="28"/>
          <w:szCs w:val="28"/>
        </w:rPr>
        <w:t>тепень операционного риска, даются</w:t>
      </w:r>
      <w:r w:rsidRPr="00061D28">
        <w:rPr>
          <w:iCs/>
          <w:color w:val="000000"/>
          <w:sz w:val="28"/>
          <w:szCs w:val="28"/>
        </w:rPr>
        <w:t xml:space="preserve"> рекомендации по дооперационному ведению и обследованию больных с высоким операционно–анестезиологическим риском.</w:t>
      </w:r>
    </w:p>
    <w:p w:rsidR="00BE64D7" w:rsidRPr="00BE64D7" w:rsidRDefault="00BE64D7" w:rsidP="00BE64D7">
      <w:pPr>
        <w:autoSpaceDE w:val="0"/>
        <w:autoSpaceDN w:val="0"/>
        <w:adjustRightInd w:val="0"/>
        <w:spacing w:line="360" w:lineRule="auto"/>
        <w:ind w:left="705" w:hanging="705"/>
        <w:jc w:val="right"/>
        <w:rPr>
          <w:b/>
          <w:iCs/>
          <w:color w:val="000000"/>
          <w:sz w:val="28"/>
          <w:szCs w:val="28"/>
          <w:u w:val="single"/>
        </w:rPr>
      </w:pPr>
      <w:r w:rsidRPr="00BE64D7">
        <w:rPr>
          <w:b/>
          <w:iCs/>
          <w:color w:val="000000"/>
          <w:sz w:val="28"/>
          <w:szCs w:val="28"/>
          <w:u w:val="single"/>
        </w:rPr>
        <w:t>СТАНДАРТ</w:t>
      </w:r>
    </w:p>
    <w:p w:rsidR="000A0357" w:rsidRPr="00061D28" w:rsidRDefault="000A0357" w:rsidP="000A0357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  <w:u w:val="single"/>
        </w:rPr>
      </w:pPr>
      <w:r w:rsidRPr="00061D28">
        <w:rPr>
          <w:iCs/>
          <w:color w:val="000000"/>
          <w:sz w:val="28"/>
          <w:szCs w:val="28"/>
          <w:u w:val="single"/>
        </w:rPr>
        <w:t>Лабораторные методы:</w:t>
      </w:r>
    </w:p>
    <w:p w:rsidR="000A0357" w:rsidRPr="00061D28" w:rsidRDefault="000A0357" w:rsidP="00851789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lastRenderedPageBreak/>
        <w:t>•</w:t>
      </w:r>
      <w:r w:rsidRPr="00061D28">
        <w:rPr>
          <w:iCs/>
          <w:color w:val="000000"/>
          <w:sz w:val="28"/>
          <w:szCs w:val="28"/>
        </w:rPr>
        <w:tab/>
        <w:t>Общеклинические анализы: общий анализ крови, общий анализ мочи, биохимическое исследование крови, определение свертывающей системы крови.</w:t>
      </w:r>
    </w:p>
    <w:p w:rsidR="000A0357" w:rsidRPr="00061D28" w:rsidRDefault="000A0357" w:rsidP="00851789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Радиоиммунные исследования гормонов крови.</w:t>
      </w:r>
      <w:r w:rsidR="00851789" w:rsidRPr="00061D28">
        <w:rPr>
          <w:iCs/>
          <w:color w:val="000000"/>
          <w:sz w:val="28"/>
          <w:szCs w:val="28"/>
        </w:rPr>
        <w:t xml:space="preserve"> Р</w:t>
      </w:r>
      <w:r w:rsidRPr="00061D28">
        <w:rPr>
          <w:iCs/>
          <w:color w:val="000000"/>
          <w:sz w:val="28"/>
          <w:szCs w:val="28"/>
        </w:rPr>
        <w:t>адиоиммунным методом произв</w:t>
      </w:r>
      <w:r w:rsidR="00851789" w:rsidRPr="00061D28">
        <w:rPr>
          <w:iCs/>
          <w:color w:val="000000"/>
          <w:sz w:val="28"/>
          <w:szCs w:val="28"/>
        </w:rPr>
        <w:t>одится</w:t>
      </w:r>
      <w:r w:rsidRPr="00061D28">
        <w:rPr>
          <w:iCs/>
          <w:color w:val="000000"/>
          <w:sz w:val="28"/>
          <w:szCs w:val="28"/>
        </w:rPr>
        <w:t xml:space="preserve"> определение содержания тропных гормонов гипофиза в крови (пролактин, СТГ, АКТГ, ТТГ</w:t>
      </w:r>
      <w:r w:rsidR="00851789" w:rsidRPr="00061D28">
        <w:rPr>
          <w:iCs/>
          <w:color w:val="000000"/>
          <w:sz w:val="28"/>
          <w:szCs w:val="28"/>
        </w:rPr>
        <w:t>, Соматомедин – С (ИРФ-1)</w:t>
      </w:r>
      <w:r w:rsidRPr="00061D28">
        <w:rPr>
          <w:iCs/>
          <w:color w:val="000000"/>
          <w:sz w:val="28"/>
          <w:szCs w:val="28"/>
        </w:rPr>
        <w:t>), а также гормонов, продуцируемым периферическими эндокринными железами (Т3,Т4, кортизол и его метаболиты, половые гормоны)</w:t>
      </w:r>
      <w:r w:rsidR="00851789" w:rsidRPr="00061D28">
        <w:rPr>
          <w:iCs/>
          <w:color w:val="000000"/>
          <w:sz w:val="28"/>
          <w:szCs w:val="28"/>
        </w:rPr>
        <w:t xml:space="preserve">. </w:t>
      </w:r>
    </w:p>
    <w:p w:rsidR="00816AFD" w:rsidRPr="00061D28" w:rsidRDefault="000A0357" w:rsidP="00816AFD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</w:r>
      <w:r w:rsidR="00851789" w:rsidRPr="00061D28">
        <w:rPr>
          <w:iCs/>
          <w:color w:val="000000"/>
          <w:sz w:val="28"/>
          <w:szCs w:val="28"/>
        </w:rPr>
        <w:t>ЭКГ</w:t>
      </w:r>
      <w:r w:rsidR="00816AFD" w:rsidRPr="00061D28">
        <w:rPr>
          <w:iCs/>
          <w:color w:val="000000"/>
          <w:sz w:val="28"/>
          <w:szCs w:val="28"/>
        </w:rPr>
        <w:t xml:space="preserve">, </w:t>
      </w:r>
      <w:r w:rsidR="00851789" w:rsidRPr="00061D28">
        <w:rPr>
          <w:iCs/>
          <w:color w:val="000000"/>
          <w:sz w:val="28"/>
          <w:szCs w:val="28"/>
        </w:rPr>
        <w:t>УЗИ вен ног.</w:t>
      </w:r>
      <w:r w:rsidR="00816AFD" w:rsidRPr="00061D28">
        <w:rPr>
          <w:iCs/>
          <w:color w:val="000000"/>
          <w:sz w:val="28"/>
          <w:szCs w:val="28"/>
        </w:rPr>
        <w:t xml:space="preserve"> </w:t>
      </w:r>
    </w:p>
    <w:p w:rsidR="0055222D" w:rsidRDefault="0055222D" w:rsidP="00816AFD">
      <w:pPr>
        <w:autoSpaceDE w:val="0"/>
        <w:autoSpaceDN w:val="0"/>
        <w:adjustRightInd w:val="0"/>
        <w:spacing w:line="360" w:lineRule="auto"/>
        <w:ind w:left="705"/>
        <w:jc w:val="both"/>
        <w:rPr>
          <w:iCs/>
          <w:color w:val="000000"/>
          <w:sz w:val="28"/>
          <w:szCs w:val="28"/>
        </w:rPr>
      </w:pPr>
    </w:p>
    <w:p w:rsidR="0055222D" w:rsidRPr="00BE64D7" w:rsidRDefault="0055222D" w:rsidP="0055222D">
      <w:pPr>
        <w:autoSpaceDE w:val="0"/>
        <w:autoSpaceDN w:val="0"/>
        <w:adjustRightInd w:val="0"/>
        <w:spacing w:line="360" w:lineRule="auto"/>
        <w:ind w:left="705" w:hanging="705"/>
        <w:jc w:val="right"/>
        <w:rPr>
          <w:b/>
          <w:iCs/>
          <w:color w:val="000000"/>
          <w:sz w:val="28"/>
          <w:szCs w:val="28"/>
          <w:u w:val="single"/>
        </w:rPr>
      </w:pPr>
      <w:r>
        <w:rPr>
          <w:b/>
          <w:iCs/>
          <w:color w:val="000000"/>
          <w:sz w:val="28"/>
          <w:szCs w:val="28"/>
          <w:u w:val="single"/>
        </w:rPr>
        <w:t>РЕКОМЕНДАЦИИ</w:t>
      </w:r>
    </w:p>
    <w:p w:rsidR="00851789" w:rsidRDefault="00816AFD" w:rsidP="00816AFD">
      <w:pPr>
        <w:autoSpaceDE w:val="0"/>
        <w:autoSpaceDN w:val="0"/>
        <w:adjustRightInd w:val="0"/>
        <w:spacing w:line="360" w:lineRule="auto"/>
        <w:ind w:left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При необходимости – дополнительные исследования и консультации смежных специалистов, направленные на определение степени выраженности сопутствующих заболеваний и коррекцию имеющихся нарушений.</w:t>
      </w:r>
    </w:p>
    <w:p w:rsidR="00BE64D7" w:rsidRPr="00BE64D7" w:rsidRDefault="00BE64D7" w:rsidP="00BE64D7">
      <w:pPr>
        <w:autoSpaceDE w:val="0"/>
        <w:autoSpaceDN w:val="0"/>
        <w:adjustRightInd w:val="0"/>
        <w:spacing w:line="360" w:lineRule="auto"/>
        <w:ind w:left="705" w:hanging="705"/>
        <w:jc w:val="right"/>
        <w:rPr>
          <w:b/>
          <w:iCs/>
          <w:color w:val="000000"/>
          <w:sz w:val="28"/>
          <w:szCs w:val="28"/>
          <w:u w:val="single"/>
        </w:rPr>
      </w:pPr>
      <w:r w:rsidRPr="00BE64D7">
        <w:rPr>
          <w:b/>
          <w:iCs/>
          <w:color w:val="000000"/>
          <w:sz w:val="28"/>
          <w:szCs w:val="28"/>
          <w:u w:val="single"/>
        </w:rPr>
        <w:t>СТАНДАРТ</w:t>
      </w:r>
    </w:p>
    <w:p w:rsidR="000A0357" w:rsidRPr="00061D28" w:rsidRDefault="000A0357" w:rsidP="00851789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  <w:u w:val="single"/>
        </w:rPr>
      </w:pPr>
      <w:r w:rsidRPr="00061D28">
        <w:rPr>
          <w:iCs/>
          <w:color w:val="000000"/>
          <w:sz w:val="28"/>
          <w:szCs w:val="28"/>
          <w:u w:val="single"/>
        </w:rPr>
        <w:t>Методы нейровизуализации:</w:t>
      </w:r>
    </w:p>
    <w:p w:rsidR="000A0357" w:rsidRPr="00061D28" w:rsidRDefault="000A0357" w:rsidP="00851789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 xml:space="preserve">Краниография боковая, </w:t>
      </w:r>
      <w:r w:rsidR="00851789" w:rsidRPr="00061D28">
        <w:rPr>
          <w:iCs/>
          <w:color w:val="000000"/>
          <w:sz w:val="28"/>
          <w:szCs w:val="28"/>
        </w:rPr>
        <w:t xml:space="preserve">прямая, придаточных пазух носа. </w:t>
      </w:r>
      <w:r w:rsidRPr="00061D28">
        <w:rPr>
          <w:iCs/>
          <w:color w:val="000000"/>
          <w:sz w:val="28"/>
          <w:szCs w:val="28"/>
        </w:rPr>
        <w:t xml:space="preserve">Размеры турецкого седла определялись на прицельных боковых краниограммах, произведенных с фокусного расстояния 60 см. </w:t>
      </w:r>
      <w:r w:rsidR="001601BE">
        <w:rPr>
          <w:iCs/>
          <w:color w:val="000000"/>
          <w:sz w:val="28"/>
          <w:szCs w:val="28"/>
        </w:rPr>
        <w:t>О</w:t>
      </w:r>
      <w:r w:rsidRPr="00061D28">
        <w:rPr>
          <w:iCs/>
          <w:color w:val="000000"/>
          <w:sz w:val="28"/>
          <w:szCs w:val="28"/>
        </w:rPr>
        <w:t>ценива</w:t>
      </w:r>
      <w:r w:rsidR="00851789" w:rsidRPr="00061D28">
        <w:rPr>
          <w:iCs/>
          <w:color w:val="000000"/>
          <w:sz w:val="28"/>
          <w:szCs w:val="28"/>
        </w:rPr>
        <w:t xml:space="preserve">ются </w:t>
      </w:r>
      <w:r w:rsidR="001601BE">
        <w:rPr>
          <w:iCs/>
          <w:color w:val="000000"/>
          <w:sz w:val="28"/>
          <w:szCs w:val="28"/>
        </w:rPr>
        <w:t xml:space="preserve">размеры турецкого седла, </w:t>
      </w:r>
      <w:r w:rsidRPr="00061D28">
        <w:rPr>
          <w:iCs/>
          <w:color w:val="000000"/>
          <w:sz w:val="28"/>
          <w:szCs w:val="28"/>
        </w:rPr>
        <w:t xml:space="preserve">изменения </w:t>
      </w:r>
      <w:r w:rsidR="001601BE">
        <w:rPr>
          <w:iCs/>
          <w:color w:val="000000"/>
          <w:sz w:val="28"/>
          <w:szCs w:val="28"/>
        </w:rPr>
        <w:t xml:space="preserve">его </w:t>
      </w:r>
      <w:r w:rsidRPr="00061D28">
        <w:rPr>
          <w:iCs/>
          <w:color w:val="000000"/>
          <w:sz w:val="28"/>
          <w:szCs w:val="28"/>
        </w:rPr>
        <w:t>структуры и прилежащих костных образований: изменение формы седла, расширение входа в седо, двухконтурность дна, остеопороз спинки и передних наклоненных отростков клиновидной кости, деструкци</w:t>
      </w:r>
      <w:r w:rsidR="00851789" w:rsidRPr="00061D28">
        <w:rPr>
          <w:iCs/>
          <w:color w:val="000000"/>
          <w:sz w:val="28"/>
          <w:szCs w:val="28"/>
        </w:rPr>
        <w:t xml:space="preserve">я верхних отделов ската. </w:t>
      </w:r>
      <w:r w:rsidRPr="00061D28">
        <w:rPr>
          <w:iCs/>
          <w:color w:val="000000"/>
          <w:sz w:val="28"/>
          <w:szCs w:val="28"/>
        </w:rPr>
        <w:t xml:space="preserve"> Рентгенологическое исследование </w:t>
      </w:r>
      <w:r w:rsidRPr="00061D28">
        <w:rPr>
          <w:iCs/>
          <w:color w:val="000000"/>
          <w:sz w:val="28"/>
          <w:szCs w:val="28"/>
        </w:rPr>
        <w:lastRenderedPageBreak/>
        <w:t>придаточных пазух носа производи</w:t>
      </w:r>
      <w:r w:rsidR="00851789" w:rsidRPr="00061D28">
        <w:rPr>
          <w:iCs/>
          <w:color w:val="000000"/>
          <w:sz w:val="28"/>
          <w:szCs w:val="28"/>
        </w:rPr>
        <w:t>тся</w:t>
      </w:r>
      <w:r w:rsidRPr="00061D28">
        <w:rPr>
          <w:iCs/>
          <w:color w:val="000000"/>
          <w:sz w:val="28"/>
          <w:szCs w:val="28"/>
        </w:rPr>
        <w:t xml:space="preserve"> для выявления воспалительных изменений в околоносовых пазухах, что является абсолютным противопоказанием для проведения трансназального вмешательства</w:t>
      </w:r>
      <w:r w:rsidR="0055222D">
        <w:rPr>
          <w:iCs/>
          <w:color w:val="000000"/>
          <w:sz w:val="28"/>
          <w:szCs w:val="28"/>
        </w:rPr>
        <w:t xml:space="preserve"> </w:t>
      </w:r>
      <w:r w:rsidR="0055222D" w:rsidRPr="0055222D">
        <w:rPr>
          <w:iCs/>
          <w:color w:val="000000"/>
          <w:sz w:val="28"/>
          <w:szCs w:val="28"/>
        </w:rPr>
        <w:t>[1,2,7]</w:t>
      </w:r>
      <w:r w:rsidRPr="00061D28">
        <w:rPr>
          <w:iCs/>
          <w:color w:val="000000"/>
          <w:sz w:val="28"/>
          <w:szCs w:val="28"/>
        </w:rPr>
        <w:t xml:space="preserve">. </w:t>
      </w:r>
    </w:p>
    <w:p w:rsidR="000A0357" w:rsidRPr="00061D28" w:rsidRDefault="000A0357" w:rsidP="00851789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Компьютерная томография</w:t>
      </w:r>
      <w:r w:rsidR="0055222D">
        <w:rPr>
          <w:iCs/>
          <w:color w:val="000000"/>
          <w:sz w:val="28"/>
          <w:szCs w:val="28"/>
        </w:rPr>
        <w:t xml:space="preserve"> с и без контрастного усиления</w:t>
      </w:r>
      <w:r w:rsidRPr="00061D28">
        <w:rPr>
          <w:iCs/>
          <w:color w:val="000000"/>
          <w:sz w:val="28"/>
          <w:szCs w:val="28"/>
        </w:rPr>
        <w:t>.</w:t>
      </w:r>
      <w:r w:rsidR="00851789" w:rsidRPr="00061D28">
        <w:rPr>
          <w:iCs/>
          <w:color w:val="000000"/>
          <w:sz w:val="28"/>
          <w:szCs w:val="28"/>
        </w:rPr>
        <w:t xml:space="preserve"> </w:t>
      </w:r>
      <w:r w:rsidRPr="00061D28">
        <w:rPr>
          <w:iCs/>
          <w:color w:val="000000"/>
          <w:sz w:val="28"/>
          <w:szCs w:val="28"/>
        </w:rPr>
        <w:t>Компьютерная томография позволяет четко выявить соотношение опухоли и костных структур основания черепа</w:t>
      </w:r>
      <w:r w:rsidR="00851789" w:rsidRPr="00061D28">
        <w:rPr>
          <w:iCs/>
          <w:color w:val="000000"/>
          <w:sz w:val="28"/>
          <w:szCs w:val="28"/>
        </w:rPr>
        <w:t>, наличие воспалительных изменений в околоносовых пазухах, а так же анатомические особенности носовых структур и основной пазухи</w:t>
      </w:r>
      <w:r w:rsidR="0055222D" w:rsidRPr="0055222D">
        <w:rPr>
          <w:iCs/>
          <w:color w:val="000000"/>
          <w:sz w:val="28"/>
          <w:szCs w:val="28"/>
        </w:rPr>
        <w:t xml:space="preserve"> [1,2,5,9]</w:t>
      </w:r>
      <w:r w:rsidR="00851789" w:rsidRPr="00061D28">
        <w:rPr>
          <w:iCs/>
          <w:color w:val="000000"/>
          <w:sz w:val="28"/>
          <w:szCs w:val="28"/>
        </w:rPr>
        <w:t xml:space="preserve">. </w:t>
      </w:r>
    </w:p>
    <w:p w:rsidR="000A0357" w:rsidRPr="00061D28" w:rsidRDefault="000A0357" w:rsidP="005B4117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•</w:t>
      </w:r>
      <w:r w:rsidRPr="00061D28">
        <w:rPr>
          <w:iCs/>
          <w:color w:val="000000"/>
          <w:sz w:val="28"/>
          <w:szCs w:val="28"/>
        </w:rPr>
        <w:tab/>
        <w:t>Магнитно – резонансная томография</w:t>
      </w:r>
      <w:r w:rsidR="00BE64D7">
        <w:rPr>
          <w:iCs/>
          <w:color w:val="000000"/>
          <w:sz w:val="28"/>
          <w:szCs w:val="28"/>
        </w:rPr>
        <w:t xml:space="preserve"> (</w:t>
      </w:r>
      <w:r w:rsidR="0055222D">
        <w:rPr>
          <w:iCs/>
          <w:color w:val="000000"/>
          <w:sz w:val="28"/>
          <w:szCs w:val="28"/>
        </w:rPr>
        <w:t xml:space="preserve">режим </w:t>
      </w:r>
      <w:r w:rsidR="00BE64D7">
        <w:rPr>
          <w:iCs/>
          <w:color w:val="000000"/>
          <w:sz w:val="28"/>
          <w:szCs w:val="28"/>
        </w:rPr>
        <w:t>Т1, Т2,</w:t>
      </w:r>
      <w:r w:rsidR="0055222D">
        <w:rPr>
          <w:iCs/>
          <w:color w:val="000000"/>
          <w:sz w:val="28"/>
          <w:szCs w:val="28"/>
        </w:rPr>
        <w:t xml:space="preserve"> с</w:t>
      </w:r>
      <w:r w:rsidR="00BE64D7">
        <w:rPr>
          <w:iCs/>
          <w:color w:val="000000"/>
          <w:sz w:val="28"/>
          <w:szCs w:val="28"/>
        </w:rPr>
        <w:t xml:space="preserve"> контраст</w:t>
      </w:r>
      <w:r w:rsidR="0055222D">
        <w:rPr>
          <w:iCs/>
          <w:color w:val="000000"/>
          <w:sz w:val="28"/>
          <w:szCs w:val="28"/>
        </w:rPr>
        <w:t>ом</w:t>
      </w:r>
      <w:r w:rsidR="00BE64D7">
        <w:rPr>
          <w:iCs/>
          <w:color w:val="000000"/>
          <w:sz w:val="28"/>
          <w:szCs w:val="28"/>
        </w:rPr>
        <w:t>,</w:t>
      </w:r>
      <w:r w:rsidR="0055222D">
        <w:rPr>
          <w:iCs/>
          <w:color w:val="000000"/>
          <w:sz w:val="28"/>
          <w:szCs w:val="28"/>
        </w:rPr>
        <w:t xml:space="preserve"> выполненная на томографе </w:t>
      </w:r>
      <w:r w:rsidR="00BE64D7">
        <w:rPr>
          <w:iCs/>
          <w:color w:val="000000"/>
          <w:sz w:val="28"/>
          <w:szCs w:val="28"/>
        </w:rPr>
        <w:t>сил</w:t>
      </w:r>
      <w:r w:rsidR="0055222D">
        <w:rPr>
          <w:iCs/>
          <w:color w:val="000000"/>
          <w:sz w:val="28"/>
          <w:szCs w:val="28"/>
        </w:rPr>
        <w:t>ой</w:t>
      </w:r>
      <w:r w:rsidR="00BE64D7">
        <w:rPr>
          <w:iCs/>
          <w:color w:val="000000"/>
          <w:sz w:val="28"/>
          <w:szCs w:val="28"/>
        </w:rPr>
        <w:t xml:space="preserve"> магнитного поля не менее 1 Тл)</w:t>
      </w:r>
      <w:r w:rsidRPr="00061D28">
        <w:rPr>
          <w:iCs/>
          <w:color w:val="000000"/>
          <w:sz w:val="28"/>
          <w:szCs w:val="28"/>
        </w:rPr>
        <w:t>.</w:t>
      </w:r>
      <w:r w:rsidR="00851789" w:rsidRPr="00061D28">
        <w:rPr>
          <w:iCs/>
          <w:color w:val="000000"/>
          <w:sz w:val="28"/>
          <w:szCs w:val="28"/>
        </w:rPr>
        <w:t xml:space="preserve"> </w:t>
      </w:r>
      <w:r w:rsidRPr="00061D28">
        <w:rPr>
          <w:iCs/>
          <w:color w:val="000000"/>
          <w:sz w:val="28"/>
          <w:szCs w:val="28"/>
        </w:rPr>
        <w:t>В настоящее время МРТ является основным методом диагностики аденом гипофиза</w:t>
      </w:r>
      <w:r w:rsidR="001601BE">
        <w:rPr>
          <w:iCs/>
          <w:color w:val="000000"/>
          <w:sz w:val="28"/>
          <w:szCs w:val="28"/>
        </w:rPr>
        <w:t>,</w:t>
      </w:r>
      <w:r w:rsidRPr="00061D28">
        <w:rPr>
          <w:iCs/>
          <w:color w:val="000000"/>
          <w:sz w:val="28"/>
          <w:szCs w:val="28"/>
        </w:rPr>
        <w:t xml:space="preserve"> а так же позволяет провести дифференциальный диагноз с другими околоселлярными новообразованиями. Помимо определения точного размера, структуры  и расположения опухоли, при МРТ имеется возможность определить соотношение опухоли с основными магистральными сосудами, зрительными нервами, веществом больших полушарий головного мозга. При контрастном усилении аденома гипофиза относительно быстро и интенсивно накапливает контрастное вещество, что позволяет четко отграничивать ткань опухоли от мозговых структур</w:t>
      </w:r>
      <w:r w:rsidR="0055222D" w:rsidRPr="0055222D">
        <w:rPr>
          <w:iCs/>
          <w:color w:val="000000"/>
          <w:sz w:val="28"/>
          <w:szCs w:val="28"/>
        </w:rPr>
        <w:t xml:space="preserve"> [1,2,5,6,8,10,13,15,17]</w:t>
      </w:r>
      <w:r w:rsidRPr="00061D28">
        <w:rPr>
          <w:iCs/>
          <w:color w:val="000000"/>
          <w:sz w:val="28"/>
          <w:szCs w:val="28"/>
        </w:rPr>
        <w:t xml:space="preserve">. </w:t>
      </w:r>
    </w:p>
    <w:p w:rsidR="00816AFD" w:rsidRPr="0055222D" w:rsidRDefault="00816AFD" w:rsidP="005B4117">
      <w:pPr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  <w:u w:val="single"/>
        </w:rPr>
      </w:pPr>
      <w:r w:rsidRPr="0055222D">
        <w:rPr>
          <w:b/>
          <w:iCs/>
          <w:color w:val="000000"/>
          <w:sz w:val="28"/>
          <w:szCs w:val="28"/>
          <w:u w:val="single"/>
        </w:rPr>
        <w:t>Клиническая симптоматика аденом гипофиза.</w:t>
      </w:r>
    </w:p>
    <w:p w:rsidR="005B4117" w:rsidRPr="00061D28" w:rsidRDefault="005B4117" w:rsidP="005B411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61D28">
        <w:rPr>
          <w:sz w:val="28"/>
          <w:szCs w:val="28"/>
        </w:rPr>
        <w:t xml:space="preserve">Клиническая картина аденом гипофиза складывается из трех основных групп симптомов – неврологических нарушений, нейроофтальмологической </w:t>
      </w:r>
      <w:r w:rsidRPr="00061D28">
        <w:rPr>
          <w:sz w:val="28"/>
          <w:szCs w:val="28"/>
        </w:rPr>
        <w:lastRenderedPageBreak/>
        <w:t xml:space="preserve">симптоматики, а так же симптомов гиперпродукции тропных гормонов гипофиза и/или симптоматики гормональной недостаточности. </w:t>
      </w:r>
    </w:p>
    <w:p w:rsidR="005B4117" w:rsidRPr="00061D28" w:rsidRDefault="005B4117" w:rsidP="008A00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61D28">
        <w:rPr>
          <w:sz w:val="28"/>
          <w:szCs w:val="28"/>
          <w:u w:val="single"/>
        </w:rPr>
        <w:t>Неврологическая симптоматика</w:t>
      </w:r>
      <w:r w:rsidR="008A00C8" w:rsidRPr="00061D28">
        <w:rPr>
          <w:sz w:val="28"/>
          <w:szCs w:val="28"/>
          <w:u w:val="single"/>
        </w:rPr>
        <w:t>.</w:t>
      </w:r>
      <w:r w:rsidR="008A00C8" w:rsidRPr="001601BE">
        <w:rPr>
          <w:sz w:val="28"/>
          <w:szCs w:val="28"/>
        </w:rPr>
        <w:t xml:space="preserve"> </w:t>
      </w:r>
      <w:r w:rsidR="008A00C8" w:rsidRPr="00061D28">
        <w:rPr>
          <w:sz w:val="28"/>
          <w:szCs w:val="28"/>
        </w:rPr>
        <w:t xml:space="preserve">Неврологическая симптоматика при аденомах гипофиза крайне разнообразна и зависит от характера роста опухоли. Остановимся на основных неврологических симптомах аденом гипофиза. </w:t>
      </w:r>
    </w:p>
    <w:p w:rsidR="005B4117" w:rsidRPr="00061D28" w:rsidRDefault="005B4117" w:rsidP="008A00C8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61D28">
        <w:rPr>
          <w:sz w:val="28"/>
          <w:szCs w:val="28"/>
        </w:rPr>
        <w:t>головная боль встречается у 80% пациентов с аденомами гипофиза</w:t>
      </w:r>
      <w:r w:rsidR="008A00C8" w:rsidRPr="00061D28">
        <w:rPr>
          <w:sz w:val="28"/>
          <w:szCs w:val="28"/>
        </w:rPr>
        <w:t xml:space="preserve"> и может </w:t>
      </w:r>
      <w:r w:rsidR="00EC5F81" w:rsidRPr="00061D28">
        <w:rPr>
          <w:sz w:val="28"/>
          <w:szCs w:val="28"/>
        </w:rPr>
        <w:t>являться</w:t>
      </w:r>
      <w:r w:rsidR="008A00C8" w:rsidRPr="00061D28">
        <w:rPr>
          <w:sz w:val="28"/>
          <w:szCs w:val="28"/>
        </w:rPr>
        <w:t xml:space="preserve"> как общемозгов</w:t>
      </w:r>
      <w:r w:rsidR="001601BE">
        <w:rPr>
          <w:sz w:val="28"/>
          <w:szCs w:val="28"/>
        </w:rPr>
        <w:t>ым,</w:t>
      </w:r>
      <w:r w:rsidR="008A00C8" w:rsidRPr="00061D28">
        <w:rPr>
          <w:sz w:val="28"/>
          <w:szCs w:val="28"/>
        </w:rPr>
        <w:t xml:space="preserve"> так и очагов</w:t>
      </w:r>
      <w:r w:rsidR="001601BE">
        <w:rPr>
          <w:sz w:val="28"/>
          <w:szCs w:val="28"/>
        </w:rPr>
        <w:t>ым симптомом</w:t>
      </w:r>
      <w:r w:rsidR="0055222D" w:rsidRPr="0055222D">
        <w:rPr>
          <w:sz w:val="28"/>
          <w:szCs w:val="28"/>
        </w:rPr>
        <w:t xml:space="preserve"> [1,5,6]</w:t>
      </w:r>
      <w:r w:rsidRPr="00061D28">
        <w:rPr>
          <w:sz w:val="28"/>
          <w:szCs w:val="28"/>
        </w:rPr>
        <w:t xml:space="preserve">. </w:t>
      </w:r>
    </w:p>
    <w:p w:rsidR="005B4117" w:rsidRPr="00061D28" w:rsidRDefault="005B4117" w:rsidP="008A00C8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61D28">
        <w:rPr>
          <w:sz w:val="28"/>
          <w:szCs w:val="28"/>
        </w:rPr>
        <w:t>нарушение функции черепных нервов (</w:t>
      </w:r>
      <w:r w:rsidR="001601BE">
        <w:rPr>
          <w:sz w:val="28"/>
          <w:szCs w:val="28"/>
        </w:rPr>
        <w:t>в первую очередь</w:t>
      </w:r>
      <w:r w:rsidRPr="00061D28">
        <w:rPr>
          <w:sz w:val="28"/>
          <w:szCs w:val="28"/>
        </w:rPr>
        <w:t xml:space="preserve"> глазодвигательные нарушения, поражение ветвей тройничного нерва)</w:t>
      </w:r>
      <w:r w:rsidR="008A00C8" w:rsidRPr="00061D28">
        <w:rPr>
          <w:sz w:val="28"/>
          <w:szCs w:val="28"/>
        </w:rPr>
        <w:t xml:space="preserve"> чаще всего</w:t>
      </w:r>
      <w:r w:rsidRPr="00061D28">
        <w:rPr>
          <w:sz w:val="28"/>
          <w:szCs w:val="28"/>
        </w:rPr>
        <w:t xml:space="preserve"> возникает при поражении структур кавернозного синуса при латероселлярном росте опухоли.</w:t>
      </w:r>
      <w:r w:rsidR="008A00C8" w:rsidRPr="00061D28">
        <w:rPr>
          <w:sz w:val="28"/>
          <w:szCs w:val="28"/>
        </w:rPr>
        <w:t xml:space="preserve"> Встречается не более чем у 5% </w:t>
      </w:r>
      <w:r w:rsidR="0055222D">
        <w:rPr>
          <w:sz w:val="28"/>
          <w:szCs w:val="28"/>
        </w:rPr>
        <w:t>пациентов с аденомами гипофиза</w:t>
      </w:r>
      <w:r w:rsidR="008A00C8" w:rsidRPr="00061D28">
        <w:rPr>
          <w:sz w:val="28"/>
          <w:szCs w:val="28"/>
        </w:rPr>
        <w:t xml:space="preserve"> </w:t>
      </w:r>
      <w:r w:rsidR="0055222D" w:rsidRPr="0055222D">
        <w:rPr>
          <w:sz w:val="28"/>
          <w:szCs w:val="28"/>
        </w:rPr>
        <w:t xml:space="preserve">[5,610,12,16]. </w:t>
      </w:r>
      <w:r w:rsidR="008A00C8" w:rsidRPr="00061D28">
        <w:rPr>
          <w:sz w:val="28"/>
          <w:szCs w:val="28"/>
        </w:rPr>
        <w:t xml:space="preserve">Крайне </w:t>
      </w:r>
      <w:r w:rsidR="001601BE">
        <w:rPr>
          <w:sz w:val="28"/>
          <w:szCs w:val="28"/>
        </w:rPr>
        <w:t>редко опухоль</w:t>
      </w:r>
      <w:r w:rsidR="008A00C8" w:rsidRPr="00061D28">
        <w:rPr>
          <w:sz w:val="28"/>
          <w:szCs w:val="28"/>
        </w:rPr>
        <w:t xml:space="preserve"> име</w:t>
      </w:r>
      <w:r w:rsidR="001601BE">
        <w:rPr>
          <w:sz w:val="28"/>
          <w:szCs w:val="28"/>
        </w:rPr>
        <w:t>е</w:t>
      </w:r>
      <w:r w:rsidR="008A00C8" w:rsidRPr="00061D28">
        <w:rPr>
          <w:sz w:val="28"/>
          <w:szCs w:val="28"/>
        </w:rPr>
        <w:t>т ретроселлярный рост, сопровождающийся стволовыми нарушениями и альтернирующими синдромами</w:t>
      </w:r>
      <w:r w:rsidR="0055222D" w:rsidRPr="0055222D">
        <w:rPr>
          <w:sz w:val="28"/>
          <w:szCs w:val="28"/>
        </w:rPr>
        <w:t xml:space="preserve"> [1]</w:t>
      </w:r>
      <w:r w:rsidR="008A00C8" w:rsidRPr="00061D28">
        <w:rPr>
          <w:sz w:val="28"/>
          <w:szCs w:val="28"/>
        </w:rPr>
        <w:t>.</w:t>
      </w:r>
    </w:p>
    <w:p w:rsidR="005B4117" w:rsidRPr="00061D28" w:rsidRDefault="005B4117" w:rsidP="008A00C8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61D28">
        <w:rPr>
          <w:sz w:val="28"/>
          <w:szCs w:val="28"/>
        </w:rPr>
        <w:t>диэнцефальные нарушения (ожирение по адипозогенитальному типу, кахексия, нарушение ритма сон – бодрствование, снижение уровня произв</w:t>
      </w:r>
      <w:r w:rsidR="008A00C8" w:rsidRPr="00061D28">
        <w:rPr>
          <w:sz w:val="28"/>
          <w:szCs w:val="28"/>
        </w:rPr>
        <w:t>о</w:t>
      </w:r>
      <w:r w:rsidRPr="00061D28">
        <w:rPr>
          <w:sz w:val="28"/>
          <w:szCs w:val="28"/>
        </w:rPr>
        <w:t>льной активности, вегетососудистые реакции, нарушение психики,</w:t>
      </w:r>
      <w:r w:rsidR="008A00C8" w:rsidRPr="00061D28">
        <w:rPr>
          <w:sz w:val="28"/>
          <w:szCs w:val="28"/>
        </w:rPr>
        <w:t xml:space="preserve"> памяти, ориентировки, вплоть до развития корсаковского синдрома)</w:t>
      </w:r>
      <w:r w:rsidR="00EC5F81" w:rsidRPr="00061D28">
        <w:rPr>
          <w:sz w:val="28"/>
          <w:szCs w:val="28"/>
        </w:rPr>
        <w:t xml:space="preserve"> возникают при значительном супраселлярном росте аденомы гипофиза, сопровождающимся компрессией диэнцельно-гипоталамических структур</w:t>
      </w:r>
      <w:r w:rsidR="0055222D" w:rsidRPr="0055222D">
        <w:rPr>
          <w:sz w:val="28"/>
          <w:szCs w:val="28"/>
        </w:rPr>
        <w:t xml:space="preserve"> [1,5,6]</w:t>
      </w:r>
      <w:r w:rsidR="008A00C8" w:rsidRPr="00061D28">
        <w:rPr>
          <w:sz w:val="28"/>
          <w:szCs w:val="28"/>
        </w:rPr>
        <w:t>.</w:t>
      </w:r>
    </w:p>
    <w:p w:rsidR="008A00C8" w:rsidRPr="00061D28" w:rsidRDefault="008A00C8" w:rsidP="008A00C8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61D28">
        <w:rPr>
          <w:sz w:val="28"/>
          <w:szCs w:val="28"/>
        </w:rPr>
        <w:t>окклюзионная симптоматика при</w:t>
      </w:r>
      <w:r w:rsidR="00EC5F81" w:rsidRPr="00061D28">
        <w:rPr>
          <w:sz w:val="28"/>
          <w:szCs w:val="28"/>
        </w:rPr>
        <w:t xml:space="preserve"> механической</w:t>
      </w:r>
      <w:r w:rsidRPr="00061D28">
        <w:rPr>
          <w:sz w:val="28"/>
          <w:szCs w:val="28"/>
        </w:rPr>
        <w:t xml:space="preserve"> окклюзии отверстия Монро.</w:t>
      </w:r>
    </w:p>
    <w:p w:rsidR="005B4117" w:rsidRPr="00061D28" w:rsidRDefault="005B4117" w:rsidP="008A00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61D28">
        <w:rPr>
          <w:sz w:val="28"/>
          <w:szCs w:val="28"/>
          <w:u w:val="single"/>
        </w:rPr>
        <w:t xml:space="preserve">Нейроофтальмологическая </w:t>
      </w:r>
      <w:r w:rsidR="008A00C8" w:rsidRPr="00061D28">
        <w:rPr>
          <w:sz w:val="28"/>
          <w:szCs w:val="28"/>
          <w:u w:val="single"/>
        </w:rPr>
        <w:t>симптоматика</w:t>
      </w:r>
      <w:r w:rsidR="008A00C8" w:rsidRPr="00061D28">
        <w:rPr>
          <w:sz w:val="28"/>
          <w:szCs w:val="28"/>
        </w:rPr>
        <w:t xml:space="preserve"> возникает при механической компрессии хиазмы и зрительных нервов супраселлярной частью аденомы гипофиза и представлена хиазмальным синдромом, включающим в себя </w:t>
      </w:r>
      <w:r w:rsidR="008A00C8" w:rsidRPr="00061D28">
        <w:rPr>
          <w:sz w:val="28"/>
          <w:szCs w:val="28"/>
        </w:rPr>
        <w:lastRenderedPageBreak/>
        <w:t>битемпоральный тип нарушения полей зрения, снижение остроты зрения, атрофией на глазном дне. Нейроофтальмологическая симптоматика отмечена нами у 56% пациентов с аденомами гипофиза</w:t>
      </w:r>
      <w:r w:rsidR="0055222D" w:rsidRPr="00B87BA4">
        <w:rPr>
          <w:sz w:val="28"/>
          <w:szCs w:val="28"/>
        </w:rPr>
        <w:t xml:space="preserve"> </w:t>
      </w:r>
      <w:r w:rsidR="0055222D" w:rsidRPr="0055222D">
        <w:rPr>
          <w:sz w:val="28"/>
          <w:szCs w:val="28"/>
        </w:rPr>
        <w:t>[1,5,6]</w:t>
      </w:r>
      <w:r w:rsidR="008A00C8" w:rsidRPr="00061D28">
        <w:rPr>
          <w:sz w:val="28"/>
          <w:szCs w:val="28"/>
        </w:rPr>
        <w:t>.</w:t>
      </w:r>
    </w:p>
    <w:p w:rsidR="008A00C8" w:rsidRPr="00061D28" w:rsidRDefault="008A00C8" w:rsidP="008A00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 w:rsidRPr="00061D28">
        <w:rPr>
          <w:sz w:val="28"/>
          <w:szCs w:val="28"/>
          <w:u w:val="single"/>
        </w:rPr>
        <w:t>Эндокринологическая симптоматика.</w:t>
      </w:r>
    </w:p>
    <w:p w:rsidR="00237280" w:rsidRPr="00061D28" w:rsidRDefault="00237280" w:rsidP="00237280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8"/>
          <w:szCs w:val="28"/>
          <w:u w:val="single"/>
        </w:rPr>
      </w:pPr>
      <w:r w:rsidRPr="00061D28">
        <w:rPr>
          <w:sz w:val="28"/>
          <w:szCs w:val="28"/>
          <w:u w:val="single"/>
        </w:rPr>
        <w:t>Гиперсекреция тропных гормонов гипофиза.</w:t>
      </w:r>
    </w:p>
    <w:p w:rsidR="008A00C8" w:rsidRPr="00061D28" w:rsidRDefault="00EC5F81" w:rsidP="00EC5F81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61D28">
        <w:rPr>
          <w:sz w:val="28"/>
          <w:szCs w:val="28"/>
          <w:u w:val="single"/>
        </w:rPr>
        <w:t>СТГ</w:t>
      </w:r>
      <w:r w:rsidR="00237280" w:rsidRPr="00061D28">
        <w:rPr>
          <w:sz w:val="28"/>
          <w:szCs w:val="28"/>
          <w:u w:val="single"/>
        </w:rPr>
        <w:t>-</w:t>
      </w:r>
      <w:r w:rsidRPr="00061D28">
        <w:rPr>
          <w:sz w:val="28"/>
          <w:szCs w:val="28"/>
          <w:u w:val="single"/>
        </w:rPr>
        <w:t>секретирующие аденомы гипофиза</w:t>
      </w:r>
      <w:r w:rsidRPr="00061D28">
        <w:rPr>
          <w:sz w:val="28"/>
          <w:szCs w:val="28"/>
        </w:rPr>
        <w:t>. На 1 миллион населения приходится 60 случаев акромегалии</w:t>
      </w:r>
      <w:r w:rsidR="0055222D" w:rsidRPr="0055222D">
        <w:rPr>
          <w:sz w:val="28"/>
          <w:szCs w:val="28"/>
        </w:rPr>
        <w:t xml:space="preserve"> [1]</w:t>
      </w:r>
      <w:r w:rsidRPr="00061D28">
        <w:rPr>
          <w:sz w:val="28"/>
          <w:szCs w:val="28"/>
        </w:rPr>
        <w:t xml:space="preserve">. </w:t>
      </w:r>
      <w:r w:rsidR="00A33E0D">
        <w:rPr>
          <w:sz w:val="28"/>
          <w:szCs w:val="28"/>
        </w:rPr>
        <w:t xml:space="preserve">В эндоскопической эндоназальной транссфеноидальной хирургии </w:t>
      </w:r>
      <w:r w:rsidR="001601BE">
        <w:rPr>
          <w:sz w:val="28"/>
          <w:szCs w:val="28"/>
        </w:rPr>
        <w:t>СТГ-</w:t>
      </w:r>
      <w:r w:rsidRPr="00061D28">
        <w:rPr>
          <w:sz w:val="28"/>
          <w:szCs w:val="28"/>
        </w:rPr>
        <w:t>сек</w:t>
      </w:r>
      <w:r w:rsidR="00A33E0D">
        <w:rPr>
          <w:sz w:val="28"/>
          <w:szCs w:val="28"/>
        </w:rPr>
        <w:t>ретирующие опухоли состав</w:t>
      </w:r>
      <w:r w:rsidRPr="00061D28">
        <w:rPr>
          <w:sz w:val="28"/>
          <w:szCs w:val="28"/>
        </w:rPr>
        <w:t>л</w:t>
      </w:r>
      <w:r w:rsidR="00A33E0D">
        <w:rPr>
          <w:sz w:val="28"/>
          <w:szCs w:val="28"/>
        </w:rPr>
        <w:t>яют</w:t>
      </w:r>
      <w:r w:rsidRPr="00061D28">
        <w:rPr>
          <w:sz w:val="28"/>
          <w:szCs w:val="28"/>
        </w:rPr>
        <w:t xml:space="preserve"> 30%</w:t>
      </w:r>
      <w:r w:rsidR="0055222D" w:rsidRPr="0055222D">
        <w:rPr>
          <w:sz w:val="28"/>
          <w:szCs w:val="28"/>
        </w:rPr>
        <w:t xml:space="preserve"> [</w:t>
      </w:r>
      <w:r w:rsidR="0055222D" w:rsidRPr="00B87BA4">
        <w:rPr>
          <w:sz w:val="28"/>
          <w:szCs w:val="28"/>
        </w:rPr>
        <w:t>1,5,6,8,12</w:t>
      </w:r>
      <w:r w:rsidR="0055222D" w:rsidRPr="0055222D">
        <w:rPr>
          <w:sz w:val="28"/>
          <w:szCs w:val="28"/>
        </w:rPr>
        <w:t>]</w:t>
      </w:r>
      <w:r w:rsidRPr="00061D28">
        <w:rPr>
          <w:sz w:val="28"/>
          <w:szCs w:val="28"/>
        </w:rPr>
        <w:t>. Избыточная секреция гормона роста приводит к возникновению весьма характерных внешних проявлений в виде увеличения преимущественно дистальных отделов конечностей и костей лицевого скелета. Развитие заболевания в детском или подростковом возрасте, когда еще не произошло обызвествление эпифизов, сопр</w:t>
      </w:r>
      <w:r w:rsidR="00A33E0D">
        <w:rPr>
          <w:sz w:val="28"/>
          <w:szCs w:val="28"/>
        </w:rPr>
        <w:t>овождается развитием гигантизма</w:t>
      </w:r>
      <w:r w:rsidRPr="00061D28">
        <w:rPr>
          <w:sz w:val="28"/>
          <w:szCs w:val="28"/>
        </w:rPr>
        <w:t>. Для акромегалии характерна полиморфная клиническая картина за счет вовлечения в патологический процесс всех органов и систем</w:t>
      </w:r>
      <w:r w:rsidR="001601BE">
        <w:rPr>
          <w:sz w:val="28"/>
          <w:szCs w:val="28"/>
        </w:rPr>
        <w:t xml:space="preserve">, что проявляется </w:t>
      </w:r>
      <w:r w:rsidRPr="00061D28">
        <w:rPr>
          <w:sz w:val="28"/>
          <w:szCs w:val="28"/>
        </w:rPr>
        <w:t>нарушение</w:t>
      </w:r>
      <w:r w:rsidR="001601BE">
        <w:rPr>
          <w:sz w:val="28"/>
          <w:szCs w:val="28"/>
        </w:rPr>
        <w:t>м</w:t>
      </w:r>
      <w:r w:rsidRPr="00061D28">
        <w:rPr>
          <w:sz w:val="28"/>
          <w:szCs w:val="28"/>
        </w:rPr>
        <w:t xml:space="preserve"> углеводного, липидного, минерального обмена с формированием метаболических сдвигов, сердечно-сосудист</w:t>
      </w:r>
      <w:r w:rsidR="001601BE">
        <w:rPr>
          <w:sz w:val="28"/>
          <w:szCs w:val="28"/>
        </w:rPr>
        <w:t>ой</w:t>
      </w:r>
      <w:r w:rsidRPr="00061D28">
        <w:rPr>
          <w:sz w:val="28"/>
          <w:szCs w:val="28"/>
        </w:rPr>
        <w:t>, дыхательн</w:t>
      </w:r>
      <w:r w:rsidR="001601BE">
        <w:rPr>
          <w:sz w:val="28"/>
          <w:szCs w:val="28"/>
        </w:rPr>
        <w:t>ой</w:t>
      </w:r>
      <w:r w:rsidRPr="00061D28">
        <w:rPr>
          <w:sz w:val="28"/>
          <w:szCs w:val="28"/>
        </w:rPr>
        <w:t xml:space="preserve"> недостаточность</w:t>
      </w:r>
      <w:r w:rsidR="001601BE">
        <w:rPr>
          <w:sz w:val="28"/>
          <w:szCs w:val="28"/>
        </w:rPr>
        <w:t>ю</w:t>
      </w:r>
      <w:r w:rsidRPr="00061D28">
        <w:rPr>
          <w:sz w:val="28"/>
          <w:szCs w:val="28"/>
        </w:rPr>
        <w:t>, поражение</w:t>
      </w:r>
      <w:r w:rsidR="001601BE">
        <w:rPr>
          <w:sz w:val="28"/>
          <w:szCs w:val="28"/>
        </w:rPr>
        <w:t>м</w:t>
      </w:r>
      <w:r w:rsidRPr="00061D28">
        <w:rPr>
          <w:sz w:val="28"/>
          <w:szCs w:val="28"/>
        </w:rPr>
        <w:t xml:space="preserve"> нервной системы, нарушение</w:t>
      </w:r>
      <w:r w:rsidR="001601BE">
        <w:rPr>
          <w:sz w:val="28"/>
          <w:szCs w:val="28"/>
        </w:rPr>
        <w:t>м</w:t>
      </w:r>
      <w:r w:rsidRPr="00061D28">
        <w:rPr>
          <w:sz w:val="28"/>
          <w:szCs w:val="28"/>
        </w:rPr>
        <w:t xml:space="preserve"> функции эндокринной системы, поражение</w:t>
      </w:r>
      <w:r w:rsidR="001601BE">
        <w:rPr>
          <w:sz w:val="28"/>
          <w:szCs w:val="28"/>
        </w:rPr>
        <w:t>м</w:t>
      </w:r>
      <w:r w:rsidRPr="00061D28">
        <w:rPr>
          <w:sz w:val="28"/>
          <w:szCs w:val="28"/>
        </w:rPr>
        <w:t xml:space="preserve"> кожи, опорно-двигательного аппарата.</w:t>
      </w:r>
    </w:p>
    <w:p w:rsidR="00897092" w:rsidRPr="00061D28" w:rsidRDefault="00237280" w:rsidP="00EC5F81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61D28">
        <w:rPr>
          <w:sz w:val="28"/>
          <w:szCs w:val="28"/>
          <w:u w:val="single"/>
        </w:rPr>
        <w:t>АКТГ</w:t>
      </w:r>
      <w:r w:rsidR="00EC5F81" w:rsidRPr="00061D28">
        <w:rPr>
          <w:sz w:val="28"/>
          <w:szCs w:val="28"/>
          <w:u w:val="single"/>
        </w:rPr>
        <w:t>–секретирующие аденомы гипофиза</w:t>
      </w:r>
      <w:r w:rsidR="00EC5F81" w:rsidRPr="00061D28">
        <w:rPr>
          <w:sz w:val="28"/>
          <w:szCs w:val="28"/>
        </w:rPr>
        <w:t>. В этой категорию вх</w:t>
      </w:r>
      <w:r w:rsidR="001601BE">
        <w:rPr>
          <w:sz w:val="28"/>
          <w:szCs w:val="28"/>
        </w:rPr>
        <w:t>одит две группы аденом гипофиза</w:t>
      </w:r>
      <w:r w:rsidR="00EC5F81" w:rsidRPr="00061D28">
        <w:rPr>
          <w:sz w:val="28"/>
          <w:szCs w:val="28"/>
        </w:rPr>
        <w:t xml:space="preserve">, отличающихся по патогенезу, клинике и лечению и проявляющиеся болезнью Иценко-Кушинга </w:t>
      </w:r>
      <w:r w:rsidR="00897092" w:rsidRPr="00061D28">
        <w:rPr>
          <w:sz w:val="28"/>
          <w:szCs w:val="28"/>
        </w:rPr>
        <w:t xml:space="preserve">(БИК) </w:t>
      </w:r>
      <w:r w:rsidR="00EC5F81" w:rsidRPr="00061D28">
        <w:rPr>
          <w:sz w:val="28"/>
          <w:szCs w:val="28"/>
        </w:rPr>
        <w:t>и</w:t>
      </w:r>
      <w:r w:rsidR="00897092" w:rsidRPr="00061D28">
        <w:rPr>
          <w:sz w:val="28"/>
          <w:szCs w:val="28"/>
        </w:rPr>
        <w:t xml:space="preserve">ли синдромом Нельсона. </w:t>
      </w:r>
    </w:p>
    <w:p w:rsidR="00897092" w:rsidRPr="00061D28" w:rsidRDefault="00897092" w:rsidP="00897092">
      <w:pPr>
        <w:autoSpaceDE w:val="0"/>
        <w:autoSpaceDN w:val="0"/>
        <w:adjustRightInd w:val="0"/>
        <w:spacing w:line="360" w:lineRule="auto"/>
        <w:ind w:left="708"/>
        <w:jc w:val="both"/>
        <w:rPr>
          <w:sz w:val="28"/>
          <w:szCs w:val="28"/>
        </w:rPr>
      </w:pPr>
      <w:r w:rsidRPr="00061D28">
        <w:rPr>
          <w:sz w:val="28"/>
          <w:szCs w:val="28"/>
        </w:rPr>
        <w:t xml:space="preserve">БИК – довольно редкое заболевание, в год </w:t>
      </w:r>
      <w:r w:rsidR="001601BE" w:rsidRPr="00061D28">
        <w:rPr>
          <w:sz w:val="28"/>
          <w:szCs w:val="28"/>
        </w:rPr>
        <w:t>регистрируется</w:t>
      </w:r>
      <w:r w:rsidRPr="00061D28">
        <w:rPr>
          <w:sz w:val="28"/>
          <w:szCs w:val="28"/>
        </w:rPr>
        <w:t xml:space="preserve"> 1,2 – 1,7 новых случаев на 1 млн населения</w:t>
      </w:r>
      <w:r w:rsidR="0055222D" w:rsidRPr="0055222D">
        <w:rPr>
          <w:sz w:val="28"/>
          <w:szCs w:val="28"/>
        </w:rPr>
        <w:t xml:space="preserve"> [1]</w:t>
      </w:r>
      <w:r w:rsidRPr="00061D28">
        <w:rPr>
          <w:sz w:val="28"/>
          <w:szCs w:val="28"/>
        </w:rPr>
        <w:t xml:space="preserve">. В хирургической практике </w:t>
      </w:r>
      <w:r w:rsidRPr="00061D28">
        <w:rPr>
          <w:sz w:val="28"/>
          <w:szCs w:val="28"/>
        </w:rPr>
        <w:lastRenderedPageBreak/>
        <w:t>пациенты с БИК встречаются в 3% случаев среди всех оперированных аденом гипофиза</w:t>
      </w:r>
      <w:r w:rsidR="0055222D">
        <w:rPr>
          <w:sz w:val="28"/>
          <w:szCs w:val="28"/>
        </w:rPr>
        <w:t xml:space="preserve"> [1,5,6,10</w:t>
      </w:r>
      <w:r w:rsidR="0055222D" w:rsidRPr="0055222D">
        <w:rPr>
          <w:sz w:val="28"/>
          <w:szCs w:val="28"/>
        </w:rPr>
        <w:t>]</w:t>
      </w:r>
      <w:r w:rsidRPr="00061D28">
        <w:rPr>
          <w:sz w:val="28"/>
          <w:szCs w:val="28"/>
        </w:rPr>
        <w:t xml:space="preserve">. Для БИК характерно наличие АКТГ секретирующей опухоли гипофиза, проявляющейся гиперфункцией коры надпочечников и развитием клиники гиперкортицизма (артериальная гипертензия, диспластическое ожирение, трофические изменения кожи, гирсутизм, системный остеопороз, энцефалопатия, вторичный гипогонадизм, вторичный иммунодефицит, миопатия, нефролитиаз, стрии, отеки, сахарный диабет, трофические нарушения кожи). </w:t>
      </w:r>
    </w:p>
    <w:p w:rsidR="00897092" w:rsidRPr="00061D28" w:rsidRDefault="00897092" w:rsidP="0055222D">
      <w:pPr>
        <w:autoSpaceDE w:val="0"/>
        <w:autoSpaceDN w:val="0"/>
        <w:adjustRightInd w:val="0"/>
        <w:spacing w:line="360" w:lineRule="auto"/>
        <w:ind w:left="708"/>
        <w:jc w:val="both"/>
        <w:rPr>
          <w:sz w:val="28"/>
          <w:szCs w:val="28"/>
        </w:rPr>
      </w:pPr>
      <w:r w:rsidRPr="00061D28">
        <w:rPr>
          <w:sz w:val="28"/>
          <w:szCs w:val="28"/>
        </w:rPr>
        <w:t>Синдром Нельсона – крайне редкое заболевание, связанное в первую очередь с гиперсекрецией АКТГ на фоне двухсторонней адреналэктомии, выполненной по поводу БИК. Клиническая картина синдрома Нельсона обусловлена клиникой гиперкортицизма, а так же избытком меланостимулирующего гормона (выраженная гиперпигментация вплоть до черно-фиолетового цвета кожи и слизистых) в сочетании с хронической декомпенсированной надпочечниковой недостаточностью.</w:t>
      </w:r>
    </w:p>
    <w:p w:rsidR="00F476FC" w:rsidRPr="00061D28" w:rsidRDefault="00F476FC" w:rsidP="0055222D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61D28">
        <w:rPr>
          <w:sz w:val="28"/>
          <w:szCs w:val="28"/>
          <w:u w:val="single"/>
        </w:rPr>
        <w:t>ПРЛ</w:t>
      </w:r>
      <w:r w:rsidR="00237280" w:rsidRPr="00061D28">
        <w:rPr>
          <w:sz w:val="28"/>
          <w:szCs w:val="28"/>
          <w:u w:val="single"/>
        </w:rPr>
        <w:t>-</w:t>
      </w:r>
      <w:r w:rsidRPr="00061D28">
        <w:rPr>
          <w:sz w:val="28"/>
          <w:szCs w:val="28"/>
          <w:u w:val="single"/>
        </w:rPr>
        <w:t>секретирующие аденомы гипофиза</w:t>
      </w:r>
      <w:r w:rsidRPr="00061D28">
        <w:rPr>
          <w:sz w:val="28"/>
          <w:szCs w:val="28"/>
        </w:rPr>
        <w:t>.</w:t>
      </w:r>
      <w:r w:rsidR="00237280" w:rsidRPr="00061D28">
        <w:rPr>
          <w:sz w:val="28"/>
          <w:szCs w:val="28"/>
        </w:rPr>
        <w:t xml:space="preserve"> Среди взрослого населения число больных с гиперпролактинемией варьирует от 214 тысяч до 2 миллионов человек. Среди лиц с гиперпролактинемией аденомы гипофиза диагностируются у 52-62% пациентов. Лишь менее 10% пролактином требуют хирургического лечения (в первую очередь фармакорезистентные опухоли)</w:t>
      </w:r>
      <w:r w:rsidR="0055222D" w:rsidRPr="0055222D">
        <w:rPr>
          <w:sz w:val="28"/>
          <w:szCs w:val="28"/>
        </w:rPr>
        <w:t xml:space="preserve"> [1,13]</w:t>
      </w:r>
      <w:r w:rsidR="00237280" w:rsidRPr="00061D28">
        <w:rPr>
          <w:sz w:val="28"/>
          <w:szCs w:val="28"/>
        </w:rPr>
        <w:t xml:space="preserve">. Клиническими проявлениями гиперпролактинемии у женщин являются различные нарушения менструального цикла (аменорея, олигоменорея, ановуляторные циклы), бесплодие, лакторея, снижение либидо, фригидность, гирсутизм, акне. У мужчин гиперпролактинемия приводит к снижению </w:t>
      </w:r>
      <w:r w:rsidR="00237280" w:rsidRPr="00061D28">
        <w:rPr>
          <w:sz w:val="28"/>
          <w:szCs w:val="28"/>
        </w:rPr>
        <w:lastRenderedPageBreak/>
        <w:t>потенции или отсутствию либидо, уменьшению выраженности вторичных половых признаков, беспло</w:t>
      </w:r>
      <w:r w:rsidR="001601BE">
        <w:rPr>
          <w:sz w:val="28"/>
          <w:szCs w:val="28"/>
        </w:rPr>
        <w:t>д</w:t>
      </w:r>
      <w:r w:rsidR="00237280" w:rsidRPr="00061D28">
        <w:rPr>
          <w:sz w:val="28"/>
          <w:szCs w:val="28"/>
        </w:rPr>
        <w:t>ию, гинекомастии, лакторе</w:t>
      </w:r>
      <w:r w:rsidR="001601BE">
        <w:rPr>
          <w:sz w:val="28"/>
          <w:szCs w:val="28"/>
        </w:rPr>
        <w:t>е</w:t>
      </w:r>
      <w:r w:rsidR="00237280" w:rsidRPr="00061D28">
        <w:rPr>
          <w:sz w:val="28"/>
          <w:szCs w:val="28"/>
        </w:rPr>
        <w:t>. Для женщин и мужчин в равной степени характерно развитие метаболических и психоэмоциональных нарушений.</w:t>
      </w:r>
    </w:p>
    <w:p w:rsidR="0055222D" w:rsidRPr="0055222D" w:rsidRDefault="00237280" w:rsidP="0055222D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8"/>
          <w:szCs w:val="28"/>
        </w:rPr>
      </w:pPr>
      <w:r w:rsidRPr="0055222D">
        <w:rPr>
          <w:sz w:val="28"/>
          <w:szCs w:val="28"/>
          <w:u w:val="single"/>
        </w:rPr>
        <w:t>ТТГ-секретирующие аденомы гипофиза</w:t>
      </w:r>
      <w:r w:rsidRPr="0055222D">
        <w:rPr>
          <w:sz w:val="28"/>
          <w:szCs w:val="28"/>
        </w:rPr>
        <w:t>. Наиболее редкие формы гормонально-активны аденом гипофиза (1-2%). Клиническая картина гипертиреоза характеризуется повышенной раздражительностью, нарушением сна, тремором, потливостью, тахикардией, приступами мерцательной аритмии, снижением веса, повышением аппетита, нарушением стула</w:t>
      </w:r>
      <w:r w:rsidR="0055222D" w:rsidRPr="0055222D">
        <w:rPr>
          <w:sz w:val="28"/>
          <w:szCs w:val="28"/>
        </w:rPr>
        <w:t xml:space="preserve"> [1]</w:t>
      </w:r>
      <w:r w:rsidRPr="0055222D">
        <w:rPr>
          <w:sz w:val="28"/>
          <w:szCs w:val="28"/>
        </w:rPr>
        <w:t>.</w:t>
      </w:r>
    </w:p>
    <w:p w:rsidR="0055222D" w:rsidRPr="0055222D" w:rsidRDefault="00237280" w:rsidP="0055222D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8"/>
          <w:szCs w:val="28"/>
        </w:rPr>
      </w:pPr>
      <w:r w:rsidRPr="0055222D">
        <w:rPr>
          <w:sz w:val="28"/>
          <w:szCs w:val="28"/>
          <w:u w:val="single"/>
        </w:rPr>
        <w:t>Гипопитуитарные нарушения.</w:t>
      </w:r>
      <w:r w:rsidR="0055222D" w:rsidRPr="0055222D">
        <w:rPr>
          <w:sz w:val="28"/>
          <w:szCs w:val="28"/>
          <w:u w:val="single"/>
        </w:rPr>
        <w:t xml:space="preserve"> </w:t>
      </w:r>
    </w:p>
    <w:p w:rsidR="00237280" w:rsidRPr="0055222D" w:rsidRDefault="00F34B51" w:rsidP="0055222D">
      <w:pPr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  <w:r w:rsidRPr="0055222D">
        <w:rPr>
          <w:sz w:val="28"/>
          <w:szCs w:val="28"/>
        </w:rPr>
        <w:t>При аденомах гипофиза гипопитуитаризм может иметь характер как первичного (за счет непосредственного поражения ткани гипофиза), так и вторичного (нарушение гипоталимической регуляции за счет сдавления гипоталамуса и стебля гипофиза супраселлярным отделом аденомы). Первой нарушается секреция СТГ, затем ЛГ и ФСГ, далее ТТГ и АКТГ</w:t>
      </w:r>
      <w:r w:rsidR="001601BE" w:rsidRPr="0055222D">
        <w:rPr>
          <w:sz w:val="28"/>
          <w:szCs w:val="28"/>
        </w:rPr>
        <w:t xml:space="preserve"> с постепенным развитием клиники соответствующей гормональной недостаточности</w:t>
      </w:r>
      <w:r w:rsidR="0055222D" w:rsidRPr="0055222D">
        <w:rPr>
          <w:sz w:val="28"/>
          <w:szCs w:val="28"/>
        </w:rPr>
        <w:t xml:space="preserve"> [1]</w:t>
      </w:r>
      <w:r w:rsidRPr="0055222D">
        <w:rPr>
          <w:sz w:val="28"/>
          <w:szCs w:val="28"/>
        </w:rPr>
        <w:t>.</w:t>
      </w:r>
    </w:p>
    <w:p w:rsidR="00816AFD" w:rsidRPr="0055222D" w:rsidRDefault="00816AFD" w:rsidP="005B4117">
      <w:pPr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  <w:u w:val="single"/>
        </w:rPr>
      </w:pPr>
      <w:r w:rsidRPr="0055222D">
        <w:rPr>
          <w:b/>
          <w:iCs/>
          <w:color w:val="000000"/>
          <w:sz w:val="28"/>
          <w:szCs w:val="28"/>
          <w:u w:val="single"/>
        </w:rPr>
        <w:t>Лечение аденом гипофиза.</w:t>
      </w:r>
    </w:p>
    <w:p w:rsidR="006A3A1D" w:rsidRDefault="0055222D" w:rsidP="005B4117">
      <w:pPr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Алгоритмы выбора т</w:t>
      </w:r>
      <w:r w:rsidR="006A3A1D">
        <w:rPr>
          <w:b/>
          <w:iCs/>
          <w:color w:val="000000"/>
          <w:sz w:val="28"/>
          <w:szCs w:val="28"/>
        </w:rPr>
        <w:t>актик</w:t>
      </w:r>
      <w:r>
        <w:rPr>
          <w:b/>
          <w:iCs/>
          <w:color w:val="000000"/>
          <w:sz w:val="28"/>
          <w:szCs w:val="28"/>
        </w:rPr>
        <w:t>и</w:t>
      </w:r>
      <w:r w:rsidR="006A3A1D">
        <w:rPr>
          <w:b/>
          <w:iCs/>
          <w:color w:val="000000"/>
          <w:sz w:val="28"/>
          <w:szCs w:val="28"/>
        </w:rPr>
        <w:t xml:space="preserve"> лечения</w:t>
      </w:r>
      <w:r>
        <w:rPr>
          <w:b/>
          <w:iCs/>
          <w:color w:val="000000"/>
          <w:sz w:val="28"/>
          <w:szCs w:val="28"/>
        </w:rPr>
        <w:t xml:space="preserve"> аденом гипофиза</w:t>
      </w:r>
      <w:r w:rsidR="006A3A1D">
        <w:rPr>
          <w:b/>
          <w:iCs/>
          <w:color w:val="000000"/>
          <w:sz w:val="28"/>
          <w:szCs w:val="28"/>
        </w:rPr>
        <w:t xml:space="preserve">. </w:t>
      </w:r>
    </w:p>
    <w:p w:rsidR="006A3A1D" w:rsidRPr="006A3A1D" w:rsidRDefault="0055222D" w:rsidP="006A3A1D">
      <w:pPr>
        <w:autoSpaceDE w:val="0"/>
        <w:autoSpaceDN w:val="0"/>
        <w:adjustRightInd w:val="0"/>
        <w:spacing w:line="360" w:lineRule="auto"/>
        <w:jc w:val="right"/>
        <w:rPr>
          <w:b/>
          <w:iCs/>
          <w:color w:val="000000"/>
          <w:sz w:val="28"/>
          <w:szCs w:val="28"/>
          <w:u w:val="single"/>
        </w:rPr>
      </w:pPr>
      <w:r>
        <w:rPr>
          <w:b/>
          <w:iCs/>
          <w:color w:val="000000"/>
          <w:sz w:val="28"/>
          <w:szCs w:val="28"/>
          <w:u w:val="single"/>
        </w:rPr>
        <w:t>СТАНДАРТ</w:t>
      </w:r>
    </w:p>
    <w:p w:rsidR="006A3A1D" w:rsidRDefault="006A3A1D" w:rsidP="006A3A1D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z w:val="28"/>
          <w:szCs w:val="28"/>
          <w:u w:val="single"/>
        </w:rPr>
      </w:pPr>
      <w:r w:rsidRPr="006A3A1D">
        <w:rPr>
          <w:b/>
          <w:iCs/>
          <w:color w:val="000000"/>
          <w:sz w:val="28"/>
          <w:szCs w:val="28"/>
          <w:u w:val="single"/>
        </w:rPr>
        <w:t>ПРЛ</w:t>
      </w:r>
      <w:r w:rsidR="0055222D">
        <w:rPr>
          <w:b/>
          <w:iCs/>
          <w:color w:val="000000"/>
          <w:sz w:val="28"/>
          <w:szCs w:val="28"/>
          <w:u w:val="single"/>
        </w:rPr>
        <w:t>-</w:t>
      </w:r>
      <w:r w:rsidRPr="006A3A1D">
        <w:rPr>
          <w:b/>
          <w:iCs/>
          <w:color w:val="000000"/>
          <w:sz w:val="28"/>
          <w:szCs w:val="28"/>
          <w:u w:val="single"/>
        </w:rPr>
        <w:t>секретирующие аденомы гипофиза</w:t>
      </w:r>
      <w:r>
        <w:rPr>
          <w:b/>
          <w:iCs/>
          <w:color w:val="000000"/>
          <w:sz w:val="28"/>
          <w:szCs w:val="28"/>
          <w:u w:val="single"/>
        </w:rPr>
        <w:t xml:space="preserve"> </w:t>
      </w:r>
    </w:p>
    <w:p w:rsidR="00B60113" w:rsidRDefault="00B60113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Методом выбора первичного</w:t>
      </w:r>
      <w:r w:rsidR="006A3A1D">
        <w:rPr>
          <w:iCs/>
          <w:color w:val="000000"/>
          <w:sz w:val="28"/>
          <w:szCs w:val="28"/>
        </w:rPr>
        <w:t xml:space="preserve"> лечени</w:t>
      </w:r>
      <w:r w:rsidR="0055222D">
        <w:rPr>
          <w:iCs/>
          <w:color w:val="000000"/>
          <w:sz w:val="28"/>
          <w:szCs w:val="28"/>
        </w:rPr>
        <w:t xml:space="preserve">я </w:t>
      </w:r>
      <w:r>
        <w:rPr>
          <w:iCs/>
          <w:color w:val="000000"/>
          <w:sz w:val="28"/>
          <w:szCs w:val="28"/>
        </w:rPr>
        <w:t>пролактином является</w:t>
      </w:r>
      <w:r w:rsidR="006A3A1D">
        <w:rPr>
          <w:iCs/>
          <w:color w:val="000000"/>
          <w:sz w:val="28"/>
          <w:szCs w:val="28"/>
        </w:rPr>
        <w:t xml:space="preserve"> консервативная терапия агонистами дофамина</w:t>
      </w:r>
      <w:r>
        <w:rPr>
          <w:iCs/>
          <w:color w:val="000000"/>
          <w:sz w:val="28"/>
          <w:szCs w:val="28"/>
        </w:rPr>
        <w:t xml:space="preserve"> </w:t>
      </w:r>
      <w:r w:rsidRPr="00B60113">
        <w:rPr>
          <w:iCs/>
          <w:color w:val="000000"/>
          <w:sz w:val="28"/>
          <w:szCs w:val="28"/>
        </w:rPr>
        <w:t>[1,5,13]</w:t>
      </w:r>
      <w:r w:rsidR="006A3A1D">
        <w:rPr>
          <w:iCs/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 xml:space="preserve"> </w:t>
      </w:r>
    </w:p>
    <w:p w:rsidR="006A3A1D" w:rsidRDefault="006A3A1D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 xml:space="preserve">Хирургическое лечение </w:t>
      </w:r>
      <w:r w:rsidR="00B60113">
        <w:rPr>
          <w:iCs/>
          <w:color w:val="000000"/>
          <w:sz w:val="28"/>
          <w:szCs w:val="28"/>
        </w:rPr>
        <w:t xml:space="preserve">применяется </w:t>
      </w:r>
      <w:r>
        <w:rPr>
          <w:iCs/>
          <w:color w:val="000000"/>
          <w:sz w:val="28"/>
          <w:szCs w:val="28"/>
        </w:rPr>
        <w:t>при неэффективности консервативного лечения</w:t>
      </w:r>
      <w:r w:rsidR="00B60113">
        <w:rPr>
          <w:iCs/>
          <w:color w:val="000000"/>
          <w:sz w:val="28"/>
          <w:szCs w:val="28"/>
        </w:rPr>
        <w:t xml:space="preserve"> агонистами дофамина</w:t>
      </w:r>
      <w:r>
        <w:rPr>
          <w:iCs/>
          <w:color w:val="000000"/>
          <w:sz w:val="28"/>
          <w:szCs w:val="28"/>
        </w:rPr>
        <w:t>.</w:t>
      </w:r>
    </w:p>
    <w:p w:rsidR="006A3A1D" w:rsidRDefault="00B60113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Лучевая терапия показана лишь</w:t>
      </w:r>
      <w:r w:rsidR="006A3A1D">
        <w:rPr>
          <w:iCs/>
          <w:color w:val="000000"/>
          <w:sz w:val="28"/>
          <w:szCs w:val="28"/>
        </w:rPr>
        <w:t xml:space="preserve"> при неэффективности консервативного лечения</w:t>
      </w:r>
      <w:r w:rsidR="00764CD1">
        <w:rPr>
          <w:iCs/>
          <w:color w:val="000000"/>
          <w:sz w:val="28"/>
          <w:szCs w:val="28"/>
        </w:rPr>
        <w:t xml:space="preserve">, а так же </w:t>
      </w:r>
      <w:r w:rsidR="006A3A1D">
        <w:rPr>
          <w:iCs/>
          <w:color w:val="000000"/>
          <w:sz w:val="28"/>
          <w:szCs w:val="28"/>
        </w:rPr>
        <w:t xml:space="preserve"> не</w:t>
      </w:r>
      <w:r>
        <w:rPr>
          <w:iCs/>
          <w:color w:val="000000"/>
          <w:sz w:val="28"/>
          <w:szCs w:val="28"/>
        </w:rPr>
        <w:t>радикально проведенной операции.</w:t>
      </w:r>
    </w:p>
    <w:p w:rsidR="006A3A1D" w:rsidRPr="006A3A1D" w:rsidRDefault="006A3A1D" w:rsidP="00764CD1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z w:val="28"/>
          <w:szCs w:val="28"/>
          <w:u w:val="single"/>
        </w:rPr>
      </w:pPr>
      <w:r w:rsidRPr="006A3A1D">
        <w:rPr>
          <w:b/>
          <w:iCs/>
          <w:color w:val="000000"/>
          <w:sz w:val="28"/>
          <w:szCs w:val="28"/>
          <w:u w:val="single"/>
        </w:rPr>
        <w:t xml:space="preserve">СТГ </w:t>
      </w:r>
      <w:r>
        <w:rPr>
          <w:b/>
          <w:iCs/>
          <w:color w:val="000000"/>
          <w:sz w:val="28"/>
          <w:szCs w:val="28"/>
          <w:u w:val="single"/>
        </w:rPr>
        <w:t>секретирующие аденомы гипофиза</w:t>
      </w:r>
    </w:p>
    <w:p w:rsidR="006A3A1D" w:rsidRDefault="006A3A1D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</w:t>
      </w:r>
      <w:r w:rsidRPr="006A3A1D">
        <w:rPr>
          <w:iCs/>
          <w:color w:val="000000"/>
          <w:sz w:val="28"/>
          <w:szCs w:val="28"/>
        </w:rPr>
        <w:t>ервичное лечение – эндоскопическое эндоназальное удаление опухоли</w:t>
      </w:r>
      <w:r w:rsidR="00FF6DE5" w:rsidRPr="00FF6DE5">
        <w:rPr>
          <w:iCs/>
          <w:color w:val="000000"/>
          <w:sz w:val="28"/>
          <w:szCs w:val="28"/>
        </w:rPr>
        <w:t xml:space="preserve"> [1,5,8,10,15]</w:t>
      </w:r>
      <w:r>
        <w:rPr>
          <w:iCs/>
          <w:color w:val="000000"/>
          <w:sz w:val="28"/>
          <w:szCs w:val="28"/>
        </w:rPr>
        <w:t>.</w:t>
      </w:r>
    </w:p>
    <w:p w:rsidR="006A3A1D" w:rsidRPr="006A3A1D" w:rsidRDefault="006A3A1D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Консервативная терапия </w:t>
      </w:r>
      <w:r w:rsidR="00FF6DE5">
        <w:rPr>
          <w:iCs/>
          <w:color w:val="000000"/>
          <w:sz w:val="28"/>
          <w:szCs w:val="28"/>
        </w:rPr>
        <w:t>используется</w:t>
      </w:r>
      <w:r>
        <w:rPr>
          <w:iCs/>
          <w:color w:val="000000"/>
          <w:sz w:val="28"/>
          <w:szCs w:val="28"/>
        </w:rPr>
        <w:t xml:space="preserve"> в качестве подготовки к операции (</w:t>
      </w:r>
      <w:r w:rsidRPr="006A3A1D">
        <w:rPr>
          <w:iCs/>
          <w:color w:val="000000"/>
          <w:sz w:val="28"/>
          <w:szCs w:val="28"/>
        </w:rPr>
        <w:t>аналоги соматостатина, агонисты дофамина, агонисты рецепторов гормона роста</w:t>
      </w:r>
      <w:r>
        <w:rPr>
          <w:iCs/>
          <w:color w:val="000000"/>
          <w:sz w:val="28"/>
          <w:szCs w:val="28"/>
        </w:rPr>
        <w:t>),</w:t>
      </w:r>
      <w:r w:rsidR="00764CD1">
        <w:rPr>
          <w:iCs/>
          <w:color w:val="000000"/>
          <w:sz w:val="28"/>
          <w:szCs w:val="28"/>
        </w:rPr>
        <w:t xml:space="preserve"> а так же  п</w:t>
      </w:r>
      <w:r>
        <w:rPr>
          <w:iCs/>
          <w:color w:val="000000"/>
          <w:sz w:val="28"/>
          <w:szCs w:val="28"/>
        </w:rPr>
        <w:t>ри нерадикально проведенно</w:t>
      </w:r>
      <w:r w:rsidR="00FF6DE5">
        <w:rPr>
          <w:iCs/>
          <w:color w:val="000000"/>
          <w:sz w:val="28"/>
          <w:szCs w:val="28"/>
        </w:rPr>
        <w:t>м хирургическом лечении.</w:t>
      </w:r>
    </w:p>
    <w:p w:rsidR="006A3A1D" w:rsidRDefault="006A3A1D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Лучевая терапия – </w:t>
      </w:r>
      <w:r w:rsidRPr="006A3A1D">
        <w:rPr>
          <w:iCs/>
          <w:color w:val="000000"/>
          <w:sz w:val="28"/>
          <w:szCs w:val="28"/>
        </w:rPr>
        <w:t>при неэффективности консервативного лечения</w:t>
      </w:r>
      <w:r w:rsidR="00764CD1">
        <w:rPr>
          <w:iCs/>
          <w:color w:val="000000"/>
          <w:sz w:val="28"/>
          <w:szCs w:val="28"/>
        </w:rPr>
        <w:t xml:space="preserve">, а так же </w:t>
      </w:r>
      <w:r w:rsidRPr="006A3A1D">
        <w:rPr>
          <w:iCs/>
          <w:color w:val="000000"/>
          <w:sz w:val="28"/>
          <w:szCs w:val="28"/>
        </w:rPr>
        <w:t xml:space="preserve"> нерадикально проведенной операции.</w:t>
      </w:r>
    </w:p>
    <w:p w:rsidR="00764CD1" w:rsidRPr="00764CD1" w:rsidRDefault="00764CD1" w:rsidP="00764CD1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z w:val="28"/>
          <w:szCs w:val="28"/>
          <w:u w:val="single"/>
        </w:rPr>
      </w:pPr>
      <w:r>
        <w:rPr>
          <w:b/>
          <w:iCs/>
          <w:color w:val="000000"/>
          <w:sz w:val="28"/>
          <w:szCs w:val="28"/>
          <w:u w:val="single"/>
        </w:rPr>
        <w:t>АКТГ</w:t>
      </w:r>
      <w:r w:rsidRPr="00764CD1">
        <w:rPr>
          <w:b/>
          <w:iCs/>
          <w:color w:val="000000"/>
          <w:sz w:val="28"/>
          <w:szCs w:val="28"/>
          <w:u w:val="single"/>
        </w:rPr>
        <w:t xml:space="preserve"> секретирующие аденомы гипофиза</w:t>
      </w:r>
    </w:p>
    <w:p w:rsidR="00764CD1" w:rsidRPr="00764CD1" w:rsidRDefault="00764CD1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764CD1">
        <w:rPr>
          <w:iCs/>
          <w:color w:val="000000"/>
          <w:sz w:val="28"/>
          <w:szCs w:val="28"/>
        </w:rPr>
        <w:t>Первичное лечение – эндоскопическое эндоназальное удаление опухоли</w:t>
      </w:r>
      <w:r w:rsidR="00FF6DE5">
        <w:rPr>
          <w:iCs/>
          <w:color w:val="000000"/>
          <w:sz w:val="28"/>
          <w:szCs w:val="28"/>
        </w:rPr>
        <w:t xml:space="preserve"> </w:t>
      </w:r>
      <w:r w:rsidR="00FF6DE5" w:rsidRPr="00FF6DE5">
        <w:rPr>
          <w:iCs/>
          <w:color w:val="000000"/>
          <w:sz w:val="28"/>
          <w:szCs w:val="28"/>
        </w:rPr>
        <w:t>[1,5,6,12]</w:t>
      </w:r>
      <w:r w:rsidRPr="00764CD1">
        <w:rPr>
          <w:iCs/>
          <w:color w:val="000000"/>
          <w:sz w:val="28"/>
          <w:szCs w:val="28"/>
        </w:rPr>
        <w:t>.</w:t>
      </w:r>
    </w:p>
    <w:p w:rsidR="00764CD1" w:rsidRDefault="00764CD1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764CD1">
        <w:rPr>
          <w:iCs/>
          <w:color w:val="000000"/>
          <w:sz w:val="28"/>
          <w:szCs w:val="28"/>
        </w:rPr>
        <w:t>Лучевая терапия – при нерадикально проведенной операции.</w:t>
      </w:r>
    </w:p>
    <w:p w:rsidR="00764CD1" w:rsidRPr="006A3A1D" w:rsidRDefault="00764CD1" w:rsidP="00764CD1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z w:val="28"/>
          <w:szCs w:val="28"/>
          <w:u w:val="single"/>
        </w:rPr>
      </w:pPr>
      <w:r>
        <w:rPr>
          <w:b/>
          <w:iCs/>
          <w:color w:val="000000"/>
          <w:sz w:val="28"/>
          <w:szCs w:val="28"/>
          <w:u w:val="single"/>
        </w:rPr>
        <w:t>ТТГ</w:t>
      </w:r>
      <w:r w:rsidRPr="006A3A1D">
        <w:rPr>
          <w:b/>
          <w:iCs/>
          <w:color w:val="000000"/>
          <w:sz w:val="28"/>
          <w:szCs w:val="28"/>
          <w:u w:val="single"/>
        </w:rPr>
        <w:t xml:space="preserve"> </w:t>
      </w:r>
      <w:r>
        <w:rPr>
          <w:b/>
          <w:iCs/>
          <w:color w:val="000000"/>
          <w:sz w:val="28"/>
          <w:szCs w:val="28"/>
          <w:u w:val="single"/>
        </w:rPr>
        <w:t>секретирующие аденомы гипофиза</w:t>
      </w:r>
    </w:p>
    <w:p w:rsidR="00764CD1" w:rsidRPr="00764CD1" w:rsidRDefault="00764CD1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764CD1">
        <w:rPr>
          <w:iCs/>
          <w:color w:val="000000"/>
          <w:sz w:val="28"/>
          <w:szCs w:val="28"/>
        </w:rPr>
        <w:t>Первичное лечение – эндоскопическое эндоназальное удаление опухоли</w:t>
      </w:r>
      <w:r w:rsidR="00FF6DE5" w:rsidRPr="00FF6DE5">
        <w:rPr>
          <w:iCs/>
          <w:color w:val="000000"/>
          <w:sz w:val="28"/>
          <w:szCs w:val="28"/>
        </w:rPr>
        <w:t xml:space="preserve"> [1]</w:t>
      </w:r>
      <w:r w:rsidRPr="00764CD1">
        <w:rPr>
          <w:iCs/>
          <w:color w:val="000000"/>
          <w:sz w:val="28"/>
          <w:szCs w:val="28"/>
        </w:rPr>
        <w:t>.</w:t>
      </w:r>
    </w:p>
    <w:p w:rsidR="00764CD1" w:rsidRDefault="00764CD1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764CD1">
        <w:rPr>
          <w:iCs/>
          <w:color w:val="000000"/>
          <w:sz w:val="28"/>
          <w:szCs w:val="28"/>
        </w:rPr>
        <w:t>Лучевая терапия – при нерадикально проведенной операции.</w:t>
      </w:r>
    </w:p>
    <w:p w:rsidR="00764CD1" w:rsidRDefault="00764CD1" w:rsidP="00764CD1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z w:val="28"/>
          <w:szCs w:val="28"/>
          <w:u w:val="single"/>
        </w:rPr>
      </w:pPr>
      <w:r w:rsidRPr="00764CD1">
        <w:rPr>
          <w:b/>
          <w:iCs/>
          <w:color w:val="000000"/>
          <w:sz w:val="28"/>
          <w:szCs w:val="28"/>
          <w:u w:val="single"/>
        </w:rPr>
        <w:t>Гормонал</w:t>
      </w:r>
      <w:r>
        <w:rPr>
          <w:b/>
          <w:iCs/>
          <w:color w:val="000000"/>
          <w:sz w:val="28"/>
          <w:szCs w:val="28"/>
          <w:u w:val="single"/>
        </w:rPr>
        <w:t>ьно-неактивные аденомы гипофиза</w:t>
      </w:r>
    </w:p>
    <w:p w:rsidR="00764CD1" w:rsidRDefault="00764CD1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764CD1">
        <w:rPr>
          <w:iCs/>
          <w:color w:val="000000"/>
          <w:sz w:val="28"/>
          <w:szCs w:val="28"/>
        </w:rPr>
        <w:t>Первичное лечение – эндоскопическое эндоназальное удаление опухоли</w:t>
      </w:r>
      <w:r>
        <w:rPr>
          <w:iCs/>
          <w:color w:val="000000"/>
          <w:sz w:val="28"/>
          <w:szCs w:val="28"/>
        </w:rPr>
        <w:t xml:space="preserve"> при наличии очаговых неврологических и/или нейроофтальмологических </w:t>
      </w:r>
      <w:r>
        <w:rPr>
          <w:iCs/>
          <w:color w:val="000000"/>
          <w:sz w:val="28"/>
          <w:szCs w:val="28"/>
        </w:rPr>
        <w:lastRenderedPageBreak/>
        <w:t>синдромов, а так же при увеличении размеров опухоли в динамике</w:t>
      </w:r>
      <w:r w:rsidR="00FF6DE5" w:rsidRPr="00FF6DE5">
        <w:rPr>
          <w:iCs/>
          <w:color w:val="000000"/>
          <w:sz w:val="28"/>
          <w:szCs w:val="28"/>
        </w:rPr>
        <w:t xml:space="preserve"> [1,5,6,10,14]</w:t>
      </w:r>
      <w:r w:rsidRPr="00764CD1">
        <w:rPr>
          <w:iCs/>
          <w:color w:val="000000"/>
          <w:sz w:val="28"/>
          <w:szCs w:val="28"/>
        </w:rPr>
        <w:t>.</w:t>
      </w:r>
    </w:p>
    <w:p w:rsidR="00764CD1" w:rsidRPr="00764CD1" w:rsidRDefault="00764CD1" w:rsidP="00764CD1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8"/>
          <w:szCs w:val="28"/>
        </w:rPr>
      </w:pPr>
      <w:r w:rsidRPr="00764CD1">
        <w:rPr>
          <w:iCs/>
          <w:color w:val="000000"/>
          <w:sz w:val="28"/>
          <w:szCs w:val="28"/>
        </w:rPr>
        <w:t>Лучевая терапия – при нерадикально проведенной операции.</w:t>
      </w:r>
    </w:p>
    <w:p w:rsidR="00BE64D7" w:rsidRPr="00BE64D7" w:rsidRDefault="00BE64D7" w:rsidP="00764CD1">
      <w:pPr>
        <w:autoSpaceDE w:val="0"/>
        <w:autoSpaceDN w:val="0"/>
        <w:adjustRightInd w:val="0"/>
        <w:spacing w:line="360" w:lineRule="auto"/>
        <w:jc w:val="right"/>
        <w:rPr>
          <w:b/>
          <w:iCs/>
          <w:color w:val="000000"/>
          <w:sz w:val="28"/>
          <w:szCs w:val="28"/>
          <w:u w:val="single"/>
        </w:rPr>
      </w:pPr>
      <w:r w:rsidRPr="00BE64D7">
        <w:rPr>
          <w:b/>
          <w:iCs/>
          <w:color w:val="000000"/>
          <w:sz w:val="28"/>
          <w:szCs w:val="28"/>
          <w:u w:val="single"/>
        </w:rPr>
        <w:t>ОПЦИЯ</w:t>
      </w:r>
    </w:p>
    <w:p w:rsidR="00816AFD" w:rsidRPr="00AE120D" w:rsidRDefault="00816AFD" w:rsidP="005B4117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z w:val="28"/>
          <w:szCs w:val="28"/>
          <w:u w:val="single"/>
        </w:rPr>
      </w:pPr>
      <w:r w:rsidRPr="00061D28">
        <w:rPr>
          <w:iCs/>
          <w:color w:val="000000"/>
          <w:sz w:val="28"/>
          <w:szCs w:val="28"/>
        </w:rPr>
        <w:tab/>
      </w:r>
      <w:r w:rsidRPr="00AE120D">
        <w:rPr>
          <w:b/>
          <w:iCs/>
          <w:color w:val="000000"/>
          <w:sz w:val="28"/>
          <w:szCs w:val="28"/>
          <w:u w:val="single"/>
        </w:rPr>
        <w:t>Наблюдение.</w:t>
      </w:r>
    </w:p>
    <w:p w:rsidR="00816AFD" w:rsidRDefault="00816AFD" w:rsidP="00F34B51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Наблюдение за пациентом с аденомой гипофиза возможно в случае отсутствия какой–либо очаговой неврологической и нейроофтальмологической симптоматики при  гормонально-неактивном характере опухоли</w:t>
      </w:r>
      <w:r w:rsidR="00FF6DE5" w:rsidRPr="00FF6DE5">
        <w:rPr>
          <w:iCs/>
          <w:color w:val="000000"/>
          <w:sz w:val="28"/>
          <w:szCs w:val="28"/>
        </w:rPr>
        <w:t xml:space="preserve"> [1,5,6]</w:t>
      </w:r>
      <w:r w:rsidRPr="00061D28">
        <w:rPr>
          <w:iCs/>
          <w:color w:val="000000"/>
          <w:sz w:val="28"/>
          <w:szCs w:val="28"/>
        </w:rPr>
        <w:t>. Пациент должен наблюдаться нейрохирургом с содружестве с эндокри</w:t>
      </w:r>
      <w:r w:rsidR="001601BE">
        <w:rPr>
          <w:iCs/>
          <w:color w:val="000000"/>
          <w:sz w:val="28"/>
          <w:szCs w:val="28"/>
        </w:rPr>
        <w:t>нологом и офтальмологом, проходя</w:t>
      </w:r>
      <w:r w:rsidRPr="00061D28">
        <w:rPr>
          <w:iCs/>
          <w:color w:val="000000"/>
          <w:sz w:val="28"/>
          <w:szCs w:val="28"/>
        </w:rPr>
        <w:t xml:space="preserve"> регулярное обследование (МРТ, исследование зрительных функций, оценка неврологического статуса, исследование гормонального статуса) не реже 1 раза в год.</w:t>
      </w:r>
    </w:p>
    <w:p w:rsidR="00BE64D7" w:rsidRPr="00BE64D7" w:rsidRDefault="00BE64D7" w:rsidP="00BE64D7">
      <w:pPr>
        <w:autoSpaceDE w:val="0"/>
        <w:autoSpaceDN w:val="0"/>
        <w:adjustRightInd w:val="0"/>
        <w:spacing w:line="360" w:lineRule="auto"/>
        <w:ind w:firstLine="708"/>
        <w:jc w:val="right"/>
        <w:rPr>
          <w:b/>
          <w:iCs/>
          <w:color w:val="000000"/>
          <w:sz w:val="28"/>
          <w:szCs w:val="28"/>
          <w:u w:val="single"/>
        </w:rPr>
      </w:pPr>
      <w:r w:rsidRPr="00BE64D7">
        <w:rPr>
          <w:b/>
          <w:iCs/>
          <w:color w:val="000000"/>
          <w:sz w:val="28"/>
          <w:szCs w:val="28"/>
          <w:u w:val="single"/>
        </w:rPr>
        <w:t>СТАНДАРТ</w:t>
      </w:r>
    </w:p>
    <w:p w:rsidR="00816AFD" w:rsidRPr="00061D28" w:rsidRDefault="00816AFD" w:rsidP="00816AFD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z w:val="28"/>
          <w:szCs w:val="28"/>
          <w:u w:val="single"/>
        </w:rPr>
      </w:pPr>
      <w:r w:rsidRPr="00061D28">
        <w:rPr>
          <w:iCs/>
          <w:color w:val="000000"/>
          <w:sz w:val="28"/>
          <w:szCs w:val="28"/>
        </w:rPr>
        <w:tab/>
      </w:r>
      <w:r w:rsidRPr="00061D28">
        <w:rPr>
          <w:b/>
          <w:iCs/>
          <w:color w:val="000000"/>
          <w:sz w:val="28"/>
          <w:szCs w:val="28"/>
          <w:u w:val="single"/>
        </w:rPr>
        <w:t>Хирургическое лечение аденом гипофиза.</w:t>
      </w:r>
    </w:p>
    <w:p w:rsidR="00F34B51" w:rsidRPr="00061D28" w:rsidRDefault="00F34B51" w:rsidP="00F65540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Показанием к операции при аденомах гипофиза является наличие опухоли, признаки ее активного роста, появление нарушений зрения и других неврологических дефектов, а так же эндокринных синдромов, которые не могут быть излечены медикаментозно</w:t>
      </w:r>
      <w:r w:rsidR="00FF6DE5" w:rsidRPr="00FF6DE5">
        <w:rPr>
          <w:iCs/>
          <w:color w:val="000000"/>
          <w:sz w:val="28"/>
          <w:szCs w:val="28"/>
        </w:rPr>
        <w:t xml:space="preserve"> [1,5,8,10,13,16]</w:t>
      </w:r>
      <w:r w:rsidRPr="00061D28">
        <w:rPr>
          <w:iCs/>
          <w:color w:val="000000"/>
          <w:sz w:val="28"/>
          <w:szCs w:val="28"/>
        </w:rPr>
        <w:t>. Большинство операций при аденомах гипофиза плановые, лиш</w:t>
      </w:r>
      <w:r w:rsidR="001601BE">
        <w:rPr>
          <w:iCs/>
          <w:color w:val="000000"/>
          <w:sz w:val="28"/>
          <w:szCs w:val="28"/>
        </w:rPr>
        <w:t>ь</w:t>
      </w:r>
      <w:r w:rsidRPr="00061D28">
        <w:rPr>
          <w:iCs/>
          <w:color w:val="000000"/>
          <w:sz w:val="28"/>
          <w:szCs w:val="28"/>
        </w:rPr>
        <w:t xml:space="preserve"> небольшая часть операций проводится в срочном или экстренном порядке (при прогрессирующем снижении зрения, окклюзии, массивном кровоизлиянии в опухоль, сопровождающемся резким нарастанием клинических симптомов, при активации роста опухоли в поздние сроки беременности).</w:t>
      </w:r>
    </w:p>
    <w:p w:rsidR="00143938" w:rsidRDefault="00F65540" w:rsidP="00F65540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lastRenderedPageBreak/>
        <w:t xml:space="preserve">В арсенале хирургических методов лечения аденом гипофиза </w:t>
      </w:r>
      <w:r w:rsidR="00061D28" w:rsidRPr="00061D28">
        <w:rPr>
          <w:iCs/>
          <w:color w:val="000000"/>
          <w:sz w:val="28"/>
          <w:szCs w:val="28"/>
        </w:rPr>
        <w:t xml:space="preserve">в настоящее время </w:t>
      </w:r>
      <w:r w:rsidRPr="00061D28">
        <w:rPr>
          <w:iCs/>
          <w:color w:val="000000"/>
          <w:sz w:val="28"/>
          <w:szCs w:val="28"/>
        </w:rPr>
        <w:t>имеются два основных типа операций – эндоскопическ</w:t>
      </w:r>
      <w:r w:rsidR="00C201BE">
        <w:rPr>
          <w:iCs/>
          <w:color w:val="000000"/>
          <w:sz w:val="28"/>
          <w:szCs w:val="28"/>
        </w:rPr>
        <w:t>и</w:t>
      </w:r>
      <w:r w:rsidRPr="00061D28">
        <w:rPr>
          <w:iCs/>
          <w:color w:val="000000"/>
          <w:sz w:val="28"/>
          <w:szCs w:val="28"/>
        </w:rPr>
        <w:t xml:space="preserve">е </w:t>
      </w:r>
      <w:r w:rsidR="00C201BE">
        <w:rPr>
          <w:iCs/>
          <w:color w:val="000000"/>
          <w:sz w:val="28"/>
          <w:szCs w:val="28"/>
        </w:rPr>
        <w:t xml:space="preserve">эндоназальные </w:t>
      </w:r>
      <w:r w:rsidRPr="00061D28">
        <w:rPr>
          <w:iCs/>
          <w:color w:val="000000"/>
          <w:sz w:val="28"/>
          <w:szCs w:val="28"/>
        </w:rPr>
        <w:t>транссфеноидальные</w:t>
      </w:r>
      <w:r w:rsidR="001601BE">
        <w:rPr>
          <w:iCs/>
          <w:color w:val="000000"/>
          <w:sz w:val="28"/>
          <w:szCs w:val="28"/>
        </w:rPr>
        <w:t xml:space="preserve"> вмешательства</w:t>
      </w:r>
      <w:r w:rsidRPr="00061D28">
        <w:rPr>
          <w:iCs/>
          <w:color w:val="000000"/>
          <w:sz w:val="28"/>
          <w:szCs w:val="28"/>
        </w:rPr>
        <w:t xml:space="preserve"> и микрохирургические транскраниальные</w:t>
      </w:r>
      <w:r w:rsidR="001601BE">
        <w:rPr>
          <w:iCs/>
          <w:color w:val="000000"/>
          <w:sz w:val="28"/>
          <w:szCs w:val="28"/>
        </w:rPr>
        <w:t xml:space="preserve"> операции</w:t>
      </w:r>
      <w:r w:rsidRPr="00061D28">
        <w:rPr>
          <w:iCs/>
          <w:color w:val="000000"/>
          <w:sz w:val="28"/>
          <w:szCs w:val="28"/>
        </w:rPr>
        <w:t xml:space="preserve">. У каждой методики имеются свои особенности, преимущества и недостатки. Показания для использования того или иного типа вмешательства определены и сегодня более 90% больных с аденомами гипофиза </w:t>
      </w:r>
      <w:r w:rsidR="001601BE">
        <w:rPr>
          <w:iCs/>
          <w:color w:val="000000"/>
          <w:sz w:val="28"/>
          <w:szCs w:val="28"/>
        </w:rPr>
        <w:t xml:space="preserve">в большинстве клиник </w:t>
      </w:r>
      <w:r w:rsidRPr="00061D28">
        <w:rPr>
          <w:iCs/>
          <w:color w:val="000000"/>
          <w:sz w:val="28"/>
          <w:szCs w:val="28"/>
        </w:rPr>
        <w:t>оперируются транссфеноидально</w:t>
      </w:r>
      <w:r w:rsidR="00FF6DE5" w:rsidRPr="00FF6DE5">
        <w:rPr>
          <w:iCs/>
          <w:color w:val="000000"/>
          <w:sz w:val="28"/>
          <w:szCs w:val="28"/>
        </w:rPr>
        <w:t xml:space="preserve"> [1,5,6,10,12,16]</w:t>
      </w:r>
      <w:r w:rsidRPr="00061D28">
        <w:rPr>
          <w:iCs/>
          <w:color w:val="000000"/>
          <w:sz w:val="28"/>
          <w:szCs w:val="28"/>
        </w:rPr>
        <w:t>.</w:t>
      </w:r>
      <w:r w:rsidR="00143938" w:rsidRPr="00143938">
        <w:rPr>
          <w:iCs/>
          <w:color w:val="000000"/>
          <w:sz w:val="28"/>
          <w:szCs w:val="28"/>
        </w:rPr>
        <w:t xml:space="preserve"> </w:t>
      </w:r>
    </w:p>
    <w:p w:rsidR="00816AFD" w:rsidRPr="00143938" w:rsidRDefault="00143938" w:rsidP="00F65540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Cs/>
          <w:color w:val="000000"/>
          <w:sz w:val="28"/>
          <w:szCs w:val="28"/>
        </w:rPr>
      </w:pPr>
      <w:r w:rsidRPr="00143938">
        <w:rPr>
          <w:b/>
          <w:iCs/>
          <w:color w:val="000000"/>
          <w:sz w:val="28"/>
          <w:szCs w:val="28"/>
        </w:rPr>
        <w:t>Методом выбора в хирургическом лечении большинства аденом гипофиза является эндоскопическое эндоназальное удаление опухоли</w:t>
      </w:r>
      <w:r w:rsidR="00FF6DE5" w:rsidRPr="00FF6DE5">
        <w:rPr>
          <w:b/>
          <w:iCs/>
          <w:color w:val="000000"/>
          <w:sz w:val="28"/>
          <w:szCs w:val="28"/>
        </w:rPr>
        <w:t xml:space="preserve"> </w:t>
      </w:r>
      <w:r w:rsidR="00FF6DE5" w:rsidRPr="00FF6DE5">
        <w:rPr>
          <w:iCs/>
          <w:color w:val="000000"/>
          <w:sz w:val="28"/>
          <w:szCs w:val="28"/>
        </w:rPr>
        <w:t>[1,5,6,7,10,12,13,15,16]</w:t>
      </w:r>
      <w:r w:rsidRPr="00143938">
        <w:rPr>
          <w:b/>
          <w:iCs/>
          <w:color w:val="000000"/>
          <w:sz w:val="28"/>
          <w:szCs w:val="28"/>
        </w:rPr>
        <w:t>.</w:t>
      </w:r>
    </w:p>
    <w:p w:rsidR="001601BE" w:rsidRPr="00BE64D7" w:rsidRDefault="00BE64D7" w:rsidP="00BE64D7">
      <w:pPr>
        <w:autoSpaceDE w:val="0"/>
        <w:autoSpaceDN w:val="0"/>
        <w:adjustRightInd w:val="0"/>
        <w:spacing w:line="360" w:lineRule="auto"/>
        <w:ind w:firstLine="708"/>
        <w:jc w:val="right"/>
        <w:rPr>
          <w:b/>
          <w:iCs/>
          <w:color w:val="000000"/>
          <w:sz w:val="28"/>
          <w:szCs w:val="28"/>
          <w:u w:val="single"/>
        </w:rPr>
      </w:pPr>
      <w:r w:rsidRPr="00BE64D7">
        <w:rPr>
          <w:b/>
          <w:iCs/>
          <w:color w:val="000000"/>
          <w:sz w:val="28"/>
          <w:szCs w:val="28"/>
          <w:u w:val="single"/>
        </w:rPr>
        <w:t>СТАНДАРТ</w:t>
      </w:r>
    </w:p>
    <w:p w:rsidR="00401D27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Cs/>
          <w:color w:val="000000"/>
          <w:sz w:val="28"/>
          <w:szCs w:val="28"/>
        </w:rPr>
      </w:pPr>
      <w:r w:rsidRPr="00061D28">
        <w:rPr>
          <w:b/>
          <w:iCs/>
          <w:color w:val="000000"/>
          <w:sz w:val="28"/>
          <w:szCs w:val="28"/>
        </w:rPr>
        <w:t>Эндоскопическая эндоназальная</w:t>
      </w:r>
      <w:r w:rsidR="00C201BE">
        <w:rPr>
          <w:b/>
          <w:iCs/>
          <w:color w:val="000000"/>
          <w:sz w:val="28"/>
          <w:szCs w:val="28"/>
        </w:rPr>
        <w:t xml:space="preserve"> транссфеноидальная</w:t>
      </w:r>
      <w:r w:rsidRPr="00061D28">
        <w:rPr>
          <w:b/>
          <w:iCs/>
          <w:color w:val="000000"/>
          <w:sz w:val="28"/>
          <w:szCs w:val="28"/>
        </w:rPr>
        <w:t xml:space="preserve"> хирургия аденом гипофиза.</w:t>
      </w:r>
    </w:p>
    <w:p w:rsidR="00C201BE" w:rsidRDefault="00C201BE" w:rsidP="00C201BE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C201BE">
        <w:rPr>
          <w:iCs/>
          <w:color w:val="000000"/>
          <w:sz w:val="28"/>
          <w:szCs w:val="28"/>
        </w:rPr>
        <w:t xml:space="preserve">В настоящее время показания к </w:t>
      </w:r>
      <w:r>
        <w:rPr>
          <w:iCs/>
          <w:color w:val="000000"/>
          <w:sz w:val="28"/>
          <w:szCs w:val="28"/>
        </w:rPr>
        <w:t>эндоназальному удалению аденом гипофиза претерпели революционные изменения - и</w:t>
      </w:r>
      <w:r w:rsidRPr="00C201BE">
        <w:rPr>
          <w:iCs/>
          <w:color w:val="000000"/>
          <w:sz w:val="28"/>
          <w:szCs w:val="28"/>
        </w:rPr>
        <w:t xml:space="preserve">спользование эндоскопической техники позволяет провести </w:t>
      </w:r>
      <w:r>
        <w:rPr>
          <w:iCs/>
          <w:color w:val="000000"/>
          <w:sz w:val="28"/>
          <w:szCs w:val="28"/>
        </w:rPr>
        <w:t>транссфеноидальное</w:t>
      </w:r>
      <w:r w:rsidRPr="00C201BE">
        <w:rPr>
          <w:iCs/>
          <w:color w:val="000000"/>
          <w:sz w:val="28"/>
          <w:szCs w:val="28"/>
        </w:rPr>
        <w:t xml:space="preserve"> удаление аденом гипофиза при небольших размерах турецкого седла, при наличии вторичных бескапсульных узлов, при заметном отклонении супраселлярного отдела опухоли от входа в турецкое седло</w:t>
      </w:r>
      <w:r>
        <w:rPr>
          <w:iCs/>
          <w:color w:val="000000"/>
          <w:sz w:val="28"/>
          <w:szCs w:val="28"/>
        </w:rPr>
        <w:t>, п</w:t>
      </w:r>
      <w:r w:rsidRPr="00C201BE">
        <w:rPr>
          <w:iCs/>
          <w:color w:val="000000"/>
          <w:sz w:val="28"/>
          <w:szCs w:val="28"/>
        </w:rPr>
        <w:t>ри массивном внедрении и аденомы в полость кавернозного синуса – то есть в тех случаях, когда еще совсем недавно использовались только лишь транскраниальные операции</w:t>
      </w:r>
      <w:r w:rsidR="008030A8" w:rsidRPr="008030A8">
        <w:rPr>
          <w:iCs/>
          <w:color w:val="000000"/>
          <w:sz w:val="28"/>
          <w:szCs w:val="28"/>
        </w:rPr>
        <w:t xml:space="preserve"> [</w:t>
      </w:r>
      <w:r w:rsidR="00FF6DE5" w:rsidRPr="00FF6DE5">
        <w:rPr>
          <w:iCs/>
          <w:color w:val="000000"/>
          <w:sz w:val="28"/>
          <w:szCs w:val="28"/>
        </w:rPr>
        <w:t>3,</w:t>
      </w:r>
      <w:r w:rsidR="008030A8" w:rsidRPr="008030A8">
        <w:rPr>
          <w:iCs/>
          <w:color w:val="000000"/>
          <w:sz w:val="28"/>
          <w:szCs w:val="28"/>
        </w:rPr>
        <w:t>5</w:t>
      </w:r>
      <w:r w:rsidR="00FF6DE5" w:rsidRPr="00FF6DE5">
        <w:rPr>
          <w:iCs/>
          <w:color w:val="000000"/>
          <w:sz w:val="28"/>
          <w:szCs w:val="28"/>
        </w:rPr>
        <w:t>-9</w:t>
      </w:r>
      <w:r w:rsidR="00FF6DE5">
        <w:rPr>
          <w:iCs/>
          <w:color w:val="000000"/>
          <w:sz w:val="28"/>
          <w:szCs w:val="28"/>
        </w:rPr>
        <w:t>,12,14-16</w:t>
      </w:r>
      <w:r w:rsidR="000D2EFB" w:rsidRPr="000D2EFB">
        <w:rPr>
          <w:iCs/>
          <w:color w:val="000000"/>
          <w:sz w:val="28"/>
          <w:szCs w:val="28"/>
        </w:rPr>
        <w:t>]</w:t>
      </w:r>
      <w:r w:rsidRPr="00C201BE">
        <w:rPr>
          <w:iCs/>
          <w:color w:val="000000"/>
          <w:sz w:val="28"/>
          <w:szCs w:val="28"/>
        </w:rPr>
        <w:t>.</w:t>
      </w:r>
      <w:r w:rsidR="00BE64D7">
        <w:rPr>
          <w:iCs/>
          <w:color w:val="000000"/>
          <w:sz w:val="28"/>
          <w:szCs w:val="28"/>
        </w:rPr>
        <w:t xml:space="preserve"> </w:t>
      </w:r>
    </w:p>
    <w:p w:rsidR="00143938" w:rsidRPr="00143938" w:rsidRDefault="00143938" w:rsidP="00143938">
      <w:pPr>
        <w:autoSpaceDE w:val="0"/>
        <w:autoSpaceDN w:val="0"/>
        <w:adjustRightInd w:val="0"/>
        <w:spacing w:line="360" w:lineRule="auto"/>
        <w:ind w:firstLine="708"/>
        <w:jc w:val="right"/>
        <w:rPr>
          <w:b/>
          <w:iCs/>
          <w:color w:val="000000"/>
          <w:sz w:val="28"/>
          <w:szCs w:val="28"/>
          <w:u w:val="single"/>
        </w:rPr>
      </w:pPr>
      <w:r w:rsidRPr="00143938">
        <w:rPr>
          <w:b/>
          <w:iCs/>
          <w:color w:val="000000"/>
          <w:sz w:val="28"/>
          <w:szCs w:val="28"/>
          <w:u w:val="single"/>
        </w:rPr>
        <w:t>РЕКОМЕНДАЦИИ</w:t>
      </w:r>
    </w:p>
    <w:p w:rsidR="00143938" w:rsidRPr="00B87BA4" w:rsidRDefault="00143938" w:rsidP="00C201BE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Эндоскопические эндоназальные операции должны проводиться в нейрохирургических клиниках, имеющих эндоскопическую операционную, </w:t>
      </w:r>
      <w:r w:rsidR="004A5E3F">
        <w:rPr>
          <w:iCs/>
          <w:color w:val="000000"/>
          <w:sz w:val="28"/>
          <w:szCs w:val="28"/>
        </w:rPr>
        <w:lastRenderedPageBreak/>
        <w:t xml:space="preserve">полностью </w:t>
      </w:r>
      <w:r>
        <w:rPr>
          <w:iCs/>
          <w:color w:val="000000"/>
          <w:sz w:val="28"/>
          <w:szCs w:val="28"/>
        </w:rPr>
        <w:t>укомплектованную эндоскопическ</w:t>
      </w:r>
      <w:r w:rsidR="004A5E3F">
        <w:rPr>
          <w:iCs/>
          <w:color w:val="000000"/>
          <w:sz w:val="28"/>
          <w:szCs w:val="28"/>
        </w:rPr>
        <w:t>им</w:t>
      </w:r>
      <w:r>
        <w:rPr>
          <w:iCs/>
          <w:color w:val="000000"/>
          <w:sz w:val="28"/>
          <w:szCs w:val="28"/>
        </w:rPr>
        <w:t xml:space="preserve"> эндоназальн</w:t>
      </w:r>
      <w:r w:rsidR="004A5E3F">
        <w:rPr>
          <w:iCs/>
          <w:color w:val="000000"/>
          <w:sz w:val="28"/>
          <w:szCs w:val="28"/>
        </w:rPr>
        <w:t>ым</w:t>
      </w:r>
      <w:r>
        <w:rPr>
          <w:iCs/>
          <w:color w:val="000000"/>
          <w:sz w:val="28"/>
          <w:szCs w:val="28"/>
        </w:rPr>
        <w:t xml:space="preserve"> инструментари</w:t>
      </w:r>
      <w:r w:rsidR="004A5E3F">
        <w:rPr>
          <w:iCs/>
          <w:color w:val="000000"/>
          <w:sz w:val="28"/>
          <w:szCs w:val="28"/>
        </w:rPr>
        <w:t>ем</w:t>
      </w:r>
      <w:r>
        <w:rPr>
          <w:iCs/>
          <w:color w:val="000000"/>
          <w:sz w:val="28"/>
          <w:szCs w:val="28"/>
        </w:rPr>
        <w:t xml:space="preserve"> и выполняться силами опытных </w:t>
      </w:r>
      <w:r w:rsidR="004A5E3F">
        <w:rPr>
          <w:iCs/>
          <w:color w:val="000000"/>
          <w:sz w:val="28"/>
          <w:szCs w:val="28"/>
        </w:rPr>
        <w:t>нейро</w:t>
      </w:r>
      <w:r>
        <w:rPr>
          <w:iCs/>
          <w:color w:val="000000"/>
          <w:sz w:val="28"/>
          <w:szCs w:val="28"/>
        </w:rPr>
        <w:t>хирургов, прошедших специальную подготовку, имеющих знания по эндоскопической эндоназальной анатомии</w:t>
      </w:r>
      <w:r w:rsidR="004A5E3F">
        <w:rPr>
          <w:iCs/>
          <w:color w:val="000000"/>
          <w:sz w:val="28"/>
          <w:szCs w:val="28"/>
        </w:rPr>
        <w:t xml:space="preserve"> </w:t>
      </w:r>
      <w:r w:rsidR="004A5E3F" w:rsidRPr="004A5E3F">
        <w:rPr>
          <w:iCs/>
          <w:color w:val="000000"/>
          <w:sz w:val="28"/>
          <w:szCs w:val="28"/>
        </w:rPr>
        <w:t>[2,5,6,9,12,16]</w:t>
      </w:r>
      <w:r>
        <w:rPr>
          <w:iCs/>
          <w:color w:val="000000"/>
          <w:sz w:val="28"/>
          <w:szCs w:val="28"/>
        </w:rPr>
        <w:t>.</w:t>
      </w:r>
    </w:p>
    <w:p w:rsidR="00681E3B" w:rsidRPr="00143938" w:rsidRDefault="00681E3B" w:rsidP="00681E3B">
      <w:pPr>
        <w:autoSpaceDE w:val="0"/>
        <w:autoSpaceDN w:val="0"/>
        <w:adjustRightInd w:val="0"/>
        <w:spacing w:line="360" w:lineRule="auto"/>
        <w:ind w:firstLine="708"/>
        <w:jc w:val="right"/>
        <w:rPr>
          <w:b/>
          <w:iCs/>
          <w:color w:val="000000"/>
          <w:sz w:val="28"/>
          <w:szCs w:val="28"/>
          <w:u w:val="single"/>
        </w:rPr>
      </w:pPr>
      <w:r w:rsidRPr="00143938">
        <w:rPr>
          <w:b/>
          <w:iCs/>
          <w:color w:val="000000"/>
          <w:sz w:val="28"/>
          <w:szCs w:val="28"/>
          <w:u w:val="single"/>
        </w:rPr>
        <w:t>РЕКОМЕНДАЦИИ</w:t>
      </w:r>
    </w:p>
    <w:p w:rsidR="00143938" w:rsidRPr="00B87BA4" w:rsidRDefault="00143938" w:rsidP="0014393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</w:rPr>
      </w:pPr>
      <w:r w:rsidRPr="004F7684">
        <w:rPr>
          <w:rFonts w:eastAsiaTheme="minorHAnsi"/>
          <w:sz w:val="28"/>
          <w:szCs w:val="28"/>
        </w:rPr>
        <w:t xml:space="preserve">Пациенты с опухолями хиазмальной области должны быть оперированы в специализированных медицинских центрах, где помимо квалифицированных нейрохирургов будут работать столь же квалифицированные </w:t>
      </w:r>
      <w:r w:rsidR="00011582">
        <w:rPr>
          <w:rFonts w:eastAsiaTheme="minorHAnsi"/>
          <w:sz w:val="28"/>
          <w:szCs w:val="28"/>
        </w:rPr>
        <w:t xml:space="preserve">реаниматологи, </w:t>
      </w:r>
      <w:r w:rsidR="00200C65">
        <w:rPr>
          <w:rFonts w:eastAsiaTheme="minorHAnsi"/>
          <w:sz w:val="28"/>
          <w:szCs w:val="28"/>
        </w:rPr>
        <w:t>рентгенологи</w:t>
      </w:r>
      <w:r w:rsidRPr="004F7684">
        <w:rPr>
          <w:rFonts w:eastAsiaTheme="minorHAnsi"/>
          <w:sz w:val="28"/>
          <w:szCs w:val="28"/>
        </w:rPr>
        <w:t xml:space="preserve">, нейроофтальмологи, нейроэндокринологи, отоневрологи, морфологи и радиологи.  Только </w:t>
      </w:r>
      <w:r>
        <w:rPr>
          <w:rFonts w:eastAsiaTheme="minorHAnsi"/>
          <w:sz w:val="28"/>
          <w:szCs w:val="28"/>
        </w:rPr>
        <w:t>слаженная работа</w:t>
      </w:r>
      <w:r w:rsidRPr="004F7684">
        <w:rPr>
          <w:rFonts w:eastAsiaTheme="minorHAnsi"/>
          <w:sz w:val="28"/>
          <w:szCs w:val="28"/>
        </w:rPr>
        <w:t xml:space="preserve"> всех перечисленных специалистов сможет обеспечить оказание квалифицированной медицинской помощи пациентам с аденомами гипофиза не только во время госпитализации, но и в течение всего послеоперационного периода. </w:t>
      </w:r>
    </w:p>
    <w:p w:rsidR="00681E3B" w:rsidRPr="00BE64D7" w:rsidRDefault="00681E3B" w:rsidP="00681E3B">
      <w:pPr>
        <w:autoSpaceDE w:val="0"/>
        <w:autoSpaceDN w:val="0"/>
        <w:adjustRightInd w:val="0"/>
        <w:spacing w:line="360" w:lineRule="auto"/>
        <w:ind w:firstLine="708"/>
        <w:jc w:val="right"/>
        <w:rPr>
          <w:b/>
          <w:iCs/>
          <w:color w:val="000000"/>
          <w:sz w:val="28"/>
          <w:szCs w:val="28"/>
          <w:u w:val="single"/>
        </w:rPr>
      </w:pPr>
      <w:r w:rsidRPr="00BE64D7">
        <w:rPr>
          <w:b/>
          <w:iCs/>
          <w:color w:val="000000"/>
          <w:sz w:val="28"/>
          <w:szCs w:val="28"/>
          <w:u w:val="single"/>
        </w:rPr>
        <w:t>СТАНДАРТ</w:t>
      </w:r>
    </w:p>
    <w:p w:rsidR="00401D27" w:rsidRPr="00681E3B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Для проведения эндоскопических эндоназальных операций необходим </w:t>
      </w:r>
      <w:r w:rsidR="00061D28" w:rsidRPr="00061D28">
        <w:rPr>
          <w:iCs/>
          <w:color w:val="000000"/>
          <w:sz w:val="28"/>
          <w:szCs w:val="28"/>
        </w:rPr>
        <w:t xml:space="preserve">полноценный </w:t>
      </w:r>
      <w:r w:rsidRPr="00061D28">
        <w:rPr>
          <w:iCs/>
          <w:color w:val="000000"/>
          <w:sz w:val="28"/>
          <w:szCs w:val="28"/>
        </w:rPr>
        <w:t>комплект ригидных 4 мм эндоскопов с различными углами зрения – 0, 30, 45, 70 градусов, источник света, современная цифровая видеокамера, интраназальная дрель, система специальной би – и монополярной коагуляции</w:t>
      </w:r>
      <w:r w:rsidR="005E1D76">
        <w:rPr>
          <w:iCs/>
          <w:color w:val="000000"/>
          <w:sz w:val="28"/>
          <w:szCs w:val="28"/>
        </w:rPr>
        <w:t xml:space="preserve"> [1,5,6,7]</w:t>
      </w:r>
      <w:r w:rsidRPr="00061D28">
        <w:rPr>
          <w:iCs/>
          <w:color w:val="000000"/>
          <w:sz w:val="28"/>
          <w:szCs w:val="28"/>
        </w:rPr>
        <w:t xml:space="preserve">. </w:t>
      </w:r>
    </w:p>
    <w:p w:rsidR="00681E3B" w:rsidRPr="00143938" w:rsidRDefault="00681E3B" w:rsidP="00681E3B">
      <w:pPr>
        <w:autoSpaceDE w:val="0"/>
        <w:autoSpaceDN w:val="0"/>
        <w:adjustRightInd w:val="0"/>
        <w:spacing w:line="360" w:lineRule="auto"/>
        <w:ind w:firstLine="708"/>
        <w:jc w:val="right"/>
        <w:rPr>
          <w:b/>
          <w:iCs/>
          <w:color w:val="000000"/>
          <w:sz w:val="28"/>
          <w:szCs w:val="28"/>
          <w:u w:val="single"/>
        </w:rPr>
      </w:pPr>
      <w:r w:rsidRPr="00143938">
        <w:rPr>
          <w:b/>
          <w:iCs/>
          <w:color w:val="000000"/>
          <w:sz w:val="28"/>
          <w:szCs w:val="28"/>
          <w:u w:val="single"/>
        </w:rPr>
        <w:t>РЕКОМЕНДАЦИИ</w:t>
      </w:r>
    </w:p>
    <w:p w:rsidR="00401D27" w:rsidRPr="00B87BA4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Использование интраоперационной навигации может быть полезно при удалении опухолей из кавернозного синуса, при сложных анатомических особенностях основания черепа, а так же в случае операций при рецидивах</w:t>
      </w:r>
      <w:r w:rsidR="004A5E3F" w:rsidRPr="004A5E3F">
        <w:rPr>
          <w:iCs/>
          <w:color w:val="000000"/>
          <w:sz w:val="28"/>
          <w:szCs w:val="28"/>
        </w:rPr>
        <w:t xml:space="preserve"> [3,5,6,10,12,16]</w:t>
      </w:r>
      <w:r w:rsidRPr="00061D28">
        <w:rPr>
          <w:iCs/>
          <w:color w:val="000000"/>
          <w:sz w:val="28"/>
          <w:szCs w:val="28"/>
        </w:rPr>
        <w:t xml:space="preserve">. </w:t>
      </w:r>
    </w:p>
    <w:p w:rsidR="00681E3B" w:rsidRPr="00681E3B" w:rsidRDefault="00681E3B" w:rsidP="00681E3B">
      <w:pPr>
        <w:autoSpaceDE w:val="0"/>
        <w:autoSpaceDN w:val="0"/>
        <w:adjustRightInd w:val="0"/>
        <w:spacing w:line="360" w:lineRule="auto"/>
        <w:ind w:firstLine="708"/>
        <w:jc w:val="right"/>
        <w:rPr>
          <w:b/>
          <w:iCs/>
          <w:color w:val="000000"/>
          <w:sz w:val="28"/>
          <w:szCs w:val="28"/>
          <w:u w:val="single"/>
        </w:rPr>
      </w:pPr>
      <w:r w:rsidRPr="00681E3B">
        <w:rPr>
          <w:b/>
          <w:iCs/>
          <w:color w:val="000000"/>
          <w:sz w:val="28"/>
          <w:szCs w:val="28"/>
          <w:u w:val="single"/>
        </w:rPr>
        <w:lastRenderedPageBreak/>
        <w:t>СТАНДАРТ</w:t>
      </w:r>
    </w:p>
    <w:p w:rsidR="00401D27" w:rsidRPr="00681E3B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Использование интраоперационного допплерографического сканирования позволяет лоцировать интракавернозную часть ВСА и более безопасно удалять опухоль из кавернозного синуса</w:t>
      </w:r>
      <w:r w:rsidR="004A5E3F" w:rsidRPr="004A5E3F">
        <w:rPr>
          <w:iCs/>
          <w:color w:val="000000"/>
          <w:sz w:val="28"/>
          <w:szCs w:val="28"/>
        </w:rPr>
        <w:t xml:space="preserve"> [6,10,12,16]</w:t>
      </w:r>
      <w:r w:rsidRPr="00061D28">
        <w:rPr>
          <w:iCs/>
          <w:color w:val="000000"/>
          <w:sz w:val="28"/>
          <w:szCs w:val="28"/>
        </w:rPr>
        <w:t>.</w:t>
      </w:r>
    </w:p>
    <w:p w:rsidR="00681E3B" w:rsidRPr="00BE64D7" w:rsidRDefault="00681E3B" w:rsidP="00681E3B">
      <w:pPr>
        <w:autoSpaceDE w:val="0"/>
        <w:autoSpaceDN w:val="0"/>
        <w:adjustRightInd w:val="0"/>
        <w:spacing w:line="360" w:lineRule="auto"/>
        <w:ind w:firstLine="708"/>
        <w:jc w:val="right"/>
        <w:rPr>
          <w:b/>
          <w:iCs/>
          <w:color w:val="000000"/>
          <w:sz w:val="28"/>
          <w:szCs w:val="28"/>
          <w:u w:val="single"/>
        </w:rPr>
      </w:pPr>
      <w:r w:rsidRPr="00BE64D7">
        <w:rPr>
          <w:b/>
          <w:iCs/>
          <w:color w:val="000000"/>
          <w:sz w:val="28"/>
          <w:szCs w:val="28"/>
          <w:u w:val="single"/>
        </w:rPr>
        <w:t>СТАНДАРТ</w:t>
      </w:r>
    </w:p>
    <w:p w:rsidR="00061D28" w:rsidRPr="00061D28" w:rsidRDefault="00061D28" w:rsidP="00061D2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В стандартном случае процедура проводится через односторонний эндоназальный доступ с эндоскопом как единственным инструментом визуализации без использования микроскопа или носорасширителя; при этом хирургические инструменты вводятся через ту же половину полости носа, что и эндоскоп. В течение процедуры ригидный эндоскоп удерживается хирургом в недоминантной руке или может быть зафиксирован с помощью специального держателя к операционному столу. Отказ от использования носорасширителя позволяет осуществлять широкие по амплитуде движения инструментами во время операции во всех направлениях, которые не ограничены жесткими браншами расширителя.</w:t>
      </w:r>
      <w:r>
        <w:rPr>
          <w:iCs/>
          <w:color w:val="000000"/>
          <w:sz w:val="28"/>
          <w:szCs w:val="28"/>
        </w:rPr>
        <w:t xml:space="preserve"> </w:t>
      </w:r>
      <w:r w:rsidRPr="00061D28">
        <w:rPr>
          <w:iCs/>
          <w:color w:val="000000"/>
          <w:sz w:val="28"/>
          <w:szCs w:val="28"/>
        </w:rPr>
        <w:t>При крупном размере опухоли, особенно при наличии латероселлярного распространения, рекомендуется использовать двухсторонний эндоскопический доступ (то есть доступ через обе половины носа) позволяющий свободно работать в четыре руки</w:t>
      </w:r>
      <w:r>
        <w:rPr>
          <w:iCs/>
          <w:color w:val="000000"/>
          <w:sz w:val="28"/>
          <w:szCs w:val="28"/>
        </w:rPr>
        <w:t>.</w:t>
      </w:r>
    </w:p>
    <w:p w:rsidR="00401D27" w:rsidRPr="00061D28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Операция состоит из нескольких этапов: назального, сфеноидального, селлярного,  экстраселлярного и этапа пластики послеоперационных дефектов. </w:t>
      </w:r>
    </w:p>
    <w:p w:rsidR="00401D27" w:rsidRPr="00061D28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На назальном этапе осуществляется доступ к передней стенке основной пазухи путем латерализации средней носовой раковины и устранения прочих анатомических преград (искривленная перегородка носа, костные шипы перегородки, полипы). После визуализации главного </w:t>
      </w:r>
      <w:r w:rsidRPr="00061D28">
        <w:rPr>
          <w:iCs/>
          <w:color w:val="000000"/>
          <w:sz w:val="28"/>
          <w:szCs w:val="28"/>
        </w:rPr>
        <w:lastRenderedPageBreak/>
        <w:t xml:space="preserve">анатомического ориентира данного этапа операции – естественного соустья основной пазухи производится коагуляция слизистой сфено-этмоиданого кармана, что приводит к обнажению костной передней стенки основной пазухи. </w:t>
      </w:r>
    </w:p>
    <w:p w:rsidR="00401D27" w:rsidRPr="00061D28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На сфеноидальном этапе производится резекция задних отделов перегородки носа  и максимально широкая передняя сфеноидотомия с использованием дрели или костных кусачек. Далее резецируются мешающие доступу межпазушные перегородки. После удаления межпазушных перегородок становится виды ключевые анатомические ориентиры основной пазухи  -  дно турецкого седла, площадка основной кости, скат, костные выступы внутренних сонных артерий, костные выступы зрительных нервов, оптико–каротидный карман.</w:t>
      </w:r>
    </w:p>
    <w:p w:rsidR="00401D27" w:rsidRPr="00061D28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На селлярном этапе операции трепанируется дно турецкого седла, рассекается ТМО и удаляется опухоль из полости турецкого седла. Удаление опухолей гипофиза должно производиться последовательно. В первую очередь удаляется нижняя и латеральные части опухоли (но не латероселлярная) из полости турецкого седла. Удаление этой части опухоли производится с использованием 0° и 30° эндоскопов. </w:t>
      </w:r>
    </w:p>
    <w:p w:rsidR="00061D28" w:rsidRDefault="00401D27" w:rsidP="00061D28">
      <w:pPr>
        <w:spacing w:line="360" w:lineRule="auto"/>
        <w:ind w:firstLine="708"/>
        <w:jc w:val="both"/>
        <w:rPr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Во время экстраселлярной фазы опухоль удаляется из супраселлярного и параселлярных пространств. На этом этапе становится необходимым последовательно использовать 30°, 45°, 70° эндоскопы.</w:t>
      </w:r>
      <w:r w:rsidR="00061D28">
        <w:rPr>
          <w:iCs/>
          <w:color w:val="000000"/>
          <w:sz w:val="28"/>
          <w:szCs w:val="28"/>
        </w:rPr>
        <w:t xml:space="preserve"> </w:t>
      </w:r>
      <w:r w:rsidR="00061D28" w:rsidRPr="00D66E04">
        <w:rPr>
          <w:sz w:val="28"/>
          <w:szCs w:val="28"/>
        </w:rPr>
        <w:t>При использовании эндоскопов с различными  углами зрения возможна широкая визуализация эндо-, супра-, латероселлярных структур в условиях хорошей освещенности</w:t>
      </w:r>
      <w:r w:rsidR="00061D28">
        <w:rPr>
          <w:sz w:val="28"/>
          <w:szCs w:val="28"/>
        </w:rPr>
        <w:t xml:space="preserve"> операционной раны</w:t>
      </w:r>
      <w:r w:rsidR="00061D28" w:rsidRPr="00D66E04">
        <w:rPr>
          <w:sz w:val="28"/>
          <w:szCs w:val="28"/>
        </w:rPr>
        <w:t xml:space="preserve">. Это позволяет снизить риск повреждения основных анатомических структур, максимально радикально удалить опухоль, в том числе и из труднодоступных мест, своевременно выявлять интраоперационную ликворею и  надежно закрывать дефект в капсуле. </w:t>
      </w:r>
    </w:p>
    <w:p w:rsidR="00401D27" w:rsidRPr="00061D28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lastRenderedPageBreak/>
        <w:t xml:space="preserve"> Для расправления перерастянутой супраселлярной капсулы опухоли используется методика управляемой внутричерепной гипотензии, путем выведения ликвора через установленный </w:t>
      </w:r>
      <w:r w:rsidR="00061D28">
        <w:rPr>
          <w:iCs/>
          <w:color w:val="000000"/>
          <w:sz w:val="28"/>
          <w:szCs w:val="28"/>
        </w:rPr>
        <w:t>в начале</w:t>
      </w:r>
      <w:r w:rsidRPr="00061D28">
        <w:rPr>
          <w:iCs/>
          <w:color w:val="000000"/>
          <w:sz w:val="28"/>
          <w:szCs w:val="28"/>
        </w:rPr>
        <w:t xml:space="preserve"> операци</w:t>
      </w:r>
      <w:r w:rsidR="00061D28">
        <w:rPr>
          <w:iCs/>
          <w:color w:val="000000"/>
          <w:sz w:val="28"/>
          <w:szCs w:val="28"/>
        </w:rPr>
        <w:t>и</w:t>
      </w:r>
      <w:r w:rsidRPr="00061D28">
        <w:rPr>
          <w:iCs/>
          <w:color w:val="000000"/>
          <w:sz w:val="28"/>
          <w:szCs w:val="28"/>
        </w:rPr>
        <w:t xml:space="preserve"> наружный люмбальный дренаж, а так же приподниманием головного конце операционного стола. </w:t>
      </w:r>
    </w:p>
    <w:p w:rsidR="00401D27" w:rsidRPr="00061D28" w:rsidRDefault="00061D28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Н</w:t>
      </w:r>
      <w:r w:rsidR="00401D27" w:rsidRPr="00061D28">
        <w:rPr>
          <w:iCs/>
          <w:color w:val="000000"/>
          <w:sz w:val="28"/>
          <w:szCs w:val="28"/>
        </w:rPr>
        <w:t xml:space="preserve">еоценимо использование эндоскопической техники для удаления вторичных узлов опухоли, отходящих от ее супраселлярного отдела, а так же от верхнего полюса кавернозных синусов. С эндоскопом практически всегда удается найти вход во вторичный узел и радикально удалить его. Для остановки кровотечения (как в полости кавернозного синуса, так и из полости удаленной опухоли) применяются все доступные средства для местного гемостаза - ватники, смоченные перекисью водорода, гемостатическая марля </w:t>
      </w:r>
      <w:r w:rsidR="00401D27" w:rsidRPr="00061D28">
        <w:rPr>
          <w:iCs/>
          <w:color w:val="000000"/>
          <w:sz w:val="28"/>
          <w:szCs w:val="28"/>
          <w:lang w:val="en-US"/>
        </w:rPr>
        <w:t>Surgicel</w:t>
      </w:r>
      <w:r w:rsidR="00401D27" w:rsidRPr="00061D28">
        <w:rPr>
          <w:iCs/>
          <w:color w:val="000000"/>
          <w:sz w:val="28"/>
          <w:szCs w:val="28"/>
        </w:rPr>
        <w:t xml:space="preserve">, губка </w:t>
      </w:r>
      <w:r w:rsidR="00401D27" w:rsidRPr="00061D28">
        <w:rPr>
          <w:iCs/>
          <w:color w:val="000000"/>
          <w:sz w:val="28"/>
          <w:szCs w:val="28"/>
          <w:lang w:val="en-US"/>
        </w:rPr>
        <w:t>Spongost</w:t>
      </w:r>
      <w:r>
        <w:rPr>
          <w:iCs/>
          <w:color w:val="000000"/>
          <w:sz w:val="28"/>
          <w:szCs w:val="28"/>
          <w:lang w:val="en-US"/>
        </w:rPr>
        <w:t>a</w:t>
      </w:r>
      <w:r w:rsidR="00401D27" w:rsidRPr="00061D28">
        <w:rPr>
          <w:iCs/>
          <w:color w:val="000000"/>
          <w:sz w:val="28"/>
          <w:szCs w:val="28"/>
          <w:lang w:val="en-US"/>
        </w:rPr>
        <w:t>n</w:t>
      </w:r>
      <w:r w:rsidR="00401D27" w:rsidRPr="00061D28">
        <w:rPr>
          <w:iCs/>
          <w:color w:val="000000"/>
          <w:sz w:val="28"/>
          <w:szCs w:val="28"/>
        </w:rPr>
        <w:t xml:space="preserve">, пластины «Tachocomb», </w:t>
      </w:r>
      <w:r w:rsidR="00401D27" w:rsidRPr="00061D28">
        <w:rPr>
          <w:iCs/>
          <w:color w:val="000000"/>
          <w:sz w:val="28"/>
          <w:szCs w:val="28"/>
          <w:lang w:val="en-US"/>
        </w:rPr>
        <w:t>Surgiflo</w:t>
      </w:r>
      <w:r w:rsidR="00401D27" w:rsidRPr="00061D28">
        <w:rPr>
          <w:iCs/>
          <w:color w:val="000000"/>
          <w:sz w:val="28"/>
          <w:szCs w:val="28"/>
        </w:rPr>
        <w:t>, эндоназальная моно- и биполярная коагуляция. Однако, рекомендуется избегать использования без крайней на то нужды коагуляции в полости седла и супраселлярного пространства, а также полости кавернозного синуса (особенно монополярной). К сожалению, широко распространенные за рубежом эффективные средства местного гемостаза («Tissuflease» ® Baxter и другие) в Российской Федерации пока не сертифицированы и в настоящее время не доступны.</w:t>
      </w:r>
    </w:p>
    <w:p w:rsidR="00401D27" w:rsidRPr="00061D28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Интраоперационная ликворея является не осложнением, а лишь особенностью операции. Довольно частое выявление интраоперационных ликворей является результатом более радикального удаления опухоли и лучшей, по сравнению с микроскопом, визуализацией даже небольшой ликворной фистулы.</w:t>
      </w:r>
    </w:p>
    <w:p w:rsidR="00401D27" w:rsidRPr="00061D28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На этапе пластики послеоперационных дефектов полость седла герметизируется с использованием различных клеевых субстанций для </w:t>
      </w:r>
      <w:r w:rsidRPr="00061D28">
        <w:rPr>
          <w:iCs/>
          <w:color w:val="000000"/>
          <w:sz w:val="28"/>
          <w:szCs w:val="28"/>
        </w:rPr>
        <w:lastRenderedPageBreak/>
        <w:t xml:space="preserve">профилактики послеоперационной ликвореи. Рекомендуется во всех случаях удаления аденом гипофиза для профилактики послеоперационной ликвореи (даже в случае отсутствия интраоперационной ликвореи) герметизировать полость турецкого седла используя пластины «Tachocomb» в сочетании с фибрин-тромбиновым клеем («Tissucol» или его аналоги). Аутоткани используются при герметизации обширных дефектов основания черепа, в первую очередь при осуществлении расширенных эндоскопических доступов, а также при значительных дефектах супраселлярной капсулы, либо при ее полном отсутствии. </w:t>
      </w:r>
    </w:p>
    <w:p w:rsidR="00C201BE" w:rsidRPr="00061D28" w:rsidRDefault="00061D28" w:rsidP="00C201BE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При значительном отклонении супраселлярной части аденомы гипофиза на площадку основной кости удаление опухоли через </w:t>
      </w:r>
      <w:r w:rsidR="000D131B">
        <w:rPr>
          <w:iCs/>
          <w:color w:val="000000"/>
          <w:sz w:val="28"/>
          <w:szCs w:val="28"/>
        </w:rPr>
        <w:t>дно</w:t>
      </w:r>
      <w:r w:rsidR="00C201BE">
        <w:rPr>
          <w:iCs/>
          <w:color w:val="000000"/>
          <w:sz w:val="28"/>
          <w:szCs w:val="28"/>
        </w:rPr>
        <w:t xml:space="preserve"> турецкого седла заведомо нерадикально и сопряжено с высоким риском повреждений анатомических</w:t>
      </w:r>
      <w:r w:rsidR="000D131B">
        <w:rPr>
          <w:iCs/>
          <w:color w:val="000000"/>
          <w:sz w:val="28"/>
          <w:szCs w:val="28"/>
        </w:rPr>
        <w:t xml:space="preserve"> сосудисто-нервных</w:t>
      </w:r>
      <w:r w:rsidR="00C201BE">
        <w:rPr>
          <w:iCs/>
          <w:color w:val="000000"/>
          <w:sz w:val="28"/>
          <w:szCs w:val="28"/>
        </w:rPr>
        <w:t xml:space="preserve"> структур. В этих случаях производится расширение зоны трепанации на площадку основной кости</w:t>
      </w:r>
      <w:r w:rsidR="000D131B">
        <w:rPr>
          <w:iCs/>
          <w:color w:val="000000"/>
          <w:sz w:val="28"/>
          <w:szCs w:val="28"/>
        </w:rPr>
        <w:t xml:space="preserve">, т.о. осуществляется </w:t>
      </w:r>
      <w:r w:rsidR="00C201BE">
        <w:rPr>
          <w:iCs/>
          <w:color w:val="000000"/>
          <w:sz w:val="28"/>
          <w:szCs w:val="28"/>
        </w:rPr>
        <w:t xml:space="preserve">передний  расширенный транссфеноидальный эндоскопической эндоназальный доступ. </w:t>
      </w:r>
    </w:p>
    <w:p w:rsidR="00401D27" w:rsidRPr="00061D28" w:rsidRDefault="00401D27" w:rsidP="00401D27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 xml:space="preserve">При </w:t>
      </w:r>
      <w:r w:rsidR="00C201BE">
        <w:rPr>
          <w:iCs/>
          <w:color w:val="000000"/>
          <w:sz w:val="28"/>
          <w:szCs w:val="28"/>
        </w:rPr>
        <w:t xml:space="preserve">значительном латероселлярном распространении аденомы в полость кавернозного синуса, особенно при </w:t>
      </w:r>
      <w:r w:rsidR="00C201BE" w:rsidRPr="00061D28">
        <w:rPr>
          <w:iCs/>
          <w:color w:val="000000"/>
          <w:sz w:val="28"/>
          <w:szCs w:val="28"/>
        </w:rPr>
        <w:t xml:space="preserve">медиальном смещении интракавернозной части ВСА </w:t>
      </w:r>
      <w:r w:rsidR="00C201BE">
        <w:rPr>
          <w:iCs/>
          <w:color w:val="000000"/>
          <w:sz w:val="28"/>
          <w:szCs w:val="28"/>
        </w:rPr>
        <w:t>в ряде случаев целесообразно</w:t>
      </w:r>
      <w:r w:rsidRPr="00061D28">
        <w:rPr>
          <w:iCs/>
          <w:color w:val="000000"/>
          <w:sz w:val="28"/>
          <w:szCs w:val="28"/>
        </w:rPr>
        <w:t xml:space="preserve"> помимо трепанации дна турецкого седла между бугорками сонных артерий осуществля</w:t>
      </w:r>
      <w:r w:rsidR="00C201BE">
        <w:rPr>
          <w:iCs/>
          <w:color w:val="000000"/>
          <w:sz w:val="28"/>
          <w:szCs w:val="28"/>
        </w:rPr>
        <w:t>ть</w:t>
      </w:r>
      <w:r w:rsidRPr="00061D28">
        <w:rPr>
          <w:iCs/>
          <w:color w:val="000000"/>
          <w:sz w:val="28"/>
          <w:szCs w:val="28"/>
        </w:rPr>
        <w:t xml:space="preserve"> резекци</w:t>
      </w:r>
      <w:r w:rsidR="00C201BE">
        <w:rPr>
          <w:iCs/>
          <w:color w:val="000000"/>
          <w:sz w:val="28"/>
          <w:szCs w:val="28"/>
        </w:rPr>
        <w:t>ю</w:t>
      </w:r>
      <w:r w:rsidRPr="00061D28">
        <w:rPr>
          <w:iCs/>
          <w:color w:val="000000"/>
          <w:sz w:val="28"/>
          <w:szCs w:val="28"/>
        </w:rPr>
        <w:t xml:space="preserve"> костей передней стенки кавернозного сину</w:t>
      </w:r>
      <w:r w:rsidR="00C201BE">
        <w:rPr>
          <w:iCs/>
          <w:color w:val="000000"/>
          <w:sz w:val="28"/>
          <w:szCs w:val="28"/>
        </w:rPr>
        <w:t>са латеральнее сонной артерии (</w:t>
      </w:r>
      <w:r w:rsidR="000D131B">
        <w:rPr>
          <w:iCs/>
          <w:color w:val="000000"/>
          <w:sz w:val="28"/>
          <w:szCs w:val="28"/>
        </w:rPr>
        <w:t xml:space="preserve">т.н. </w:t>
      </w:r>
      <w:r w:rsidR="00C201BE">
        <w:rPr>
          <w:iCs/>
          <w:color w:val="000000"/>
          <w:sz w:val="28"/>
          <w:szCs w:val="28"/>
        </w:rPr>
        <w:t xml:space="preserve">латеральный расширенный транссфеноидальный эндоскопический эндоназальный доступ). </w:t>
      </w:r>
      <w:r w:rsidRPr="00061D28">
        <w:rPr>
          <w:iCs/>
          <w:color w:val="000000"/>
          <w:sz w:val="28"/>
          <w:szCs w:val="28"/>
        </w:rPr>
        <w:t xml:space="preserve">Этот доступ можно рассматривать как альтернативу достаточно </w:t>
      </w:r>
      <w:r w:rsidR="00C201BE">
        <w:rPr>
          <w:iCs/>
          <w:color w:val="000000"/>
          <w:sz w:val="28"/>
          <w:szCs w:val="28"/>
        </w:rPr>
        <w:t>травматичному</w:t>
      </w:r>
      <w:r w:rsidRPr="00061D28">
        <w:rPr>
          <w:iCs/>
          <w:color w:val="000000"/>
          <w:sz w:val="28"/>
          <w:szCs w:val="28"/>
        </w:rPr>
        <w:t xml:space="preserve"> интра-экстрадуральному интракраниальному доступу по Доленсу. Существуют несколько вариантов расширенных латеральных доступов к кавернозному синусу: с резекцией только средней носовой раковины; с резекцией средней, </w:t>
      </w:r>
      <w:r w:rsidRPr="00061D28">
        <w:rPr>
          <w:iCs/>
          <w:color w:val="000000"/>
          <w:sz w:val="28"/>
          <w:szCs w:val="28"/>
        </w:rPr>
        <w:lastRenderedPageBreak/>
        <w:t>верхней носовых раковин и задних клеток решетчатого лабиринта; а так же доступ латеральнее средней носовой раковины с резекцией группы передних, средних и задних решетчатых клеток. При этом доступе показано применение микродоплерографического датчика для лоцирования интракавернозной части внутренней сонной артерии.</w:t>
      </w:r>
    </w:p>
    <w:p w:rsidR="00C201BE" w:rsidRPr="00061D28" w:rsidRDefault="00C201BE" w:rsidP="00C201BE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Расширенные транссфеноидальные доступы являются достаточно сложными и должны осуществляться нейрохирургами, с большим опытом эндоскопической эндоназальной хирургии. Это связано с необходимостью накопления специфических навыков у операционной бригады и четкого понимания эндоназальной эндоскопической анатомии</w:t>
      </w:r>
      <w:r w:rsidR="000D2EFB" w:rsidRPr="000D2EFB">
        <w:rPr>
          <w:iCs/>
          <w:color w:val="000000"/>
          <w:sz w:val="28"/>
          <w:szCs w:val="28"/>
        </w:rPr>
        <w:t xml:space="preserve"> [3,4,1</w:t>
      </w:r>
      <w:r w:rsidR="00681E3B" w:rsidRPr="00681E3B">
        <w:rPr>
          <w:iCs/>
          <w:color w:val="000000"/>
          <w:sz w:val="28"/>
          <w:szCs w:val="28"/>
        </w:rPr>
        <w:t>4</w:t>
      </w:r>
      <w:r w:rsidR="000D2EFB" w:rsidRPr="000D2EFB">
        <w:rPr>
          <w:iCs/>
          <w:color w:val="000000"/>
          <w:sz w:val="28"/>
          <w:szCs w:val="28"/>
        </w:rPr>
        <w:t>,1</w:t>
      </w:r>
      <w:r w:rsidR="00681E3B" w:rsidRPr="00681E3B">
        <w:rPr>
          <w:iCs/>
          <w:color w:val="000000"/>
          <w:sz w:val="28"/>
          <w:szCs w:val="28"/>
        </w:rPr>
        <w:t>6</w:t>
      </w:r>
      <w:r w:rsidR="000D2EFB" w:rsidRPr="000D2EFB">
        <w:rPr>
          <w:iCs/>
          <w:color w:val="000000"/>
          <w:sz w:val="28"/>
          <w:szCs w:val="28"/>
        </w:rPr>
        <w:t>]</w:t>
      </w:r>
      <w:r w:rsidRPr="00061D28">
        <w:rPr>
          <w:iCs/>
          <w:color w:val="000000"/>
          <w:sz w:val="28"/>
          <w:szCs w:val="28"/>
        </w:rPr>
        <w:t xml:space="preserve">. </w:t>
      </w:r>
    </w:p>
    <w:p w:rsidR="00C201BE" w:rsidRDefault="00C201BE" w:rsidP="00C201BE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61D28">
        <w:rPr>
          <w:iCs/>
          <w:color w:val="000000"/>
          <w:sz w:val="28"/>
          <w:szCs w:val="28"/>
        </w:rPr>
        <w:t>Расширенные доступы должны осуществляться только при наличии в клинике всех современных гемостатических и герметизирующих средств, а также ряда специального оборудования и инструментов (надежной эндоскопической коагуляции, интраназальной дрели, ультразвукового отсоса, ультразвукового микродоплеровского датчика). Полезным является возможность интраоперационной навигации, особенно при эндоскопической хирургии кавернозного синуса</w:t>
      </w:r>
      <w:r w:rsidR="00681E3B" w:rsidRPr="00681E3B">
        <w:rPr>
          <w:iCs/>
          <w:color w:val="000000"/>
          <w:sz w:val="28"/>
          <w:szCs w:val="28"/>
        </w:rPr>
        <w:t xml:space="preserve"> </w:t>
      </w:r>
      <w:r w:rsidR="00681E3B" w:rsidRPr="000D2EFB">
        <w:rPr>
          <w:iCs/>
          <w:color w:val="000000"/>
          <w:sz w:val="28"/>
          <w:szCs w:val="28"/>
        </w:rPr>
        <w:t>[3,4,1</w:t>
      </w:r>
      <w:r w:rsidR="00681E3B" w:rsidRPr="00681E3B">
        <w:rPr>
          <w:iCs/>
          <w:color w:val="000000"/>
          <w:sz w:val="28"/>
          <w:szCs w:val="28"/>
        </w:rPr>
        <w:t>4</w:t>
      </w:r>
      <w:r w:rsidR="00681E3B" w:rsidRPr="000D2EFB">
        <w:rPr>
          <w:iCs/>
          <w:color w:val="000000"/>
          <w:sz w:val="28"/>
          <w:szCs w:val="28"/>
        </w:rPr>
        <w:t>,1</w:t>
      </w:r>
      <w:r w:rsidR="00681E3B" w:rsidRPr="00681E3B">
        <w:rPr>
          <w:iCs/>
          <w:color w:val="000000"/>
          <w:sz w:val="28"/>
          <w:szCs w:val="28"/>
        </w:rPr>
        <w:t>6</w:t>
      </w:r>
      <w:r w:rsidR="00681E3B" w:rsidRPr="000D2EFB">
        <w:rPr>
          <w:iCs/>
          <w:color w:val="000000"/>
          <w:sz w:val="28"/>
          <w:szCs w:val="28"/>
        </w:rPr>
        <w:t>]</w:t>
      </w:r>
      <w:r w:rsidRPr="00061D28">
        <w:rPr>
          <w:iCs/>
          <w:color w:val="000000"/>
          <w:sz w:val="28"/>
          <w:szCs w:val="28"/>
        </w:rPr>
        <w:t xml:space="preserve">.   </w:t>
      </w:r>
    </w:p>
    <w:p w:rsidR="00C201BE" w:rsidRDefault="00C201BE" w:rsidP="00C201BE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Cs/>
          <w:color w:val="000000"/>
          <w:sz w:val="28"/>
          <w:szCs w:val="28"/>
        </w:rPr>
      </w:pPr>
      <w:r w:rsidRPr="00C201BE">
        <w:rPr>
          <w:b/>
          <w:iCs/>
          <w:color w:val="000000"/>
          <w:sz w:val="28"/>
          <w:szCs w:val="28"/>
        </w:rPr>
        <w:t>Транскраниальная хирургия аденом гипофиза.</w:t>
      </w:r>
    </w:p>
    <w:p w:rsidR="00C201BE" w:rsidRDefault="00C201BE" w:rsidP="00C201BE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 настоящее время доля транскраниальных операций в хирургии аденом гипофиза составляет </w:t>
      </w:r>
      <w:r w:rsidR="00AE120D">
        <w:rPr>
          <w:iCs/>
          <w:color w:val="000000"/>
          <w:sz w:val="28"/>
          <w:szCs w:val="28"/>
        </w:rPr>
        <w:t>менее</w:t>
      </w:r>
      <w:r>
        <w:rPr>
          <w:iCs/>
          <w:color w:val="000000"/>
          <w:sz w:val="28"/>
          <w:szCs w:val="28"/>
        </w:rPr>
        <w:t xml:space="preserve"> 10%. Сформулировать жесткие показания к транскраниальному доступу </w:t>
      </w:r>
      <w:r w:rsidR="00AE120D">
        <w:rPr>
          <w:iCs/>
          <w:color w:val="000000"/>
          <w:sz w:val="28"/>
          <w:szCs w:val="28"/>
        </w:rPr>
        <w:t xml:space="preserve"> настоящее время </w:t>
      </w:r>
      <w:r>
        <w:rPr>
          <w:iCs/>
          <w:color w:val="000000"/>
          <w:sz w:val="28"/>
          <w:szCs w:val="28"/>
        </w:rPr>
        <w:t>сложно, ибо во многом это зависит от того, насколько в каждой клинике освоены и внедрены современные транссфеноидальные эндоскопические эндоназальные операции</w:t>
      </w:r>
      <w:r w:rsidR="00681E3B" w:rsidRPr="00681E3B">
        <w:rPr>
          <w:iCs/>
          <w:color w:val="000000"/>
          <w:sz w:val="28"/>
          <w:szCs w:val="28"/>
        </w:rPr>
        <w:t xml:space="preserve"> [1]</w:t>
      </w:r>
      <w:r>
        <w:rPr>
          <w:iCs/>
          <w:color w:val="000000"/>
          <w:sz w:val="28"/>
          <w:szCs w:val="28"/>
        </w:rPr>
        <w:t>.</w:t>
      </w:r>
    </w:p>
    <w:p w:rsidR="00BE64D7" w:rsidRPr="00BE64D7" w:rsidRDefault="00BE64D7" w:rsidP="00BE64D7">
      <w:pPr>
        <w:autoSpaceDE w:val="0"/>
        <w:autoSpaceDN w:val="0"/>
        <w:adjustRightInd w:val="0"/>
        <w:spacing w:line="360" w:lineRule="auto"/>
        <w:ind w:firstLine="708"/>
        <w:jc w:val="right"/>
        <w:rPr>
          <w:b/>
          <w:iCs/>
          <w:color w:val="000000"/>
          <w:sz w:val="28"/>
          <w:szCs w:val="28"/>
          <w:u w:val="single"/>
        </w:rPr>
      </w:pPr>
      <w:r w:rsidRPr="00BE64D7">
        <w:rPr>
          <w:b/>
          <w:iCs/>
          <w:color w:val="000000"/>
          <w:sz w:val="28"/>
          <w:szCs w:val="28"/>
          <w:u w:val="single"/>
        </w:rPr>
        <w:t>СТАНДАРТ</w:t>
      </w:r>
    </w:p>
    <w:p w:rsidR="00AE120D" w:rsidRDefault="00AE120D" w:rsidP="00AE120D">
      <w:pPr>
        <w:autoSpaceDE w:val="0"/>
        <w:autoSpaceDN w:val="0"/>
        <w:adjustRightInd w:val="0"/>
        <w:spacing w:line="360" w:lineRule="auto"/>
        <w:ind w:firstLine="708"/>
        <w:jc w:val="center"/>
        <w:rPr>
          <w:b/>
          <w:iCs/>
          <w:color w:val="000000"/>
          <w:sz w:val="28"/>
          <w:szCs w:val="28"/>
        </w:rPr>
      </w:pPr>
      <w:r w:rsidRPr="00AE120D">
        <w:rPr>
          <w:b/>
          <w:iCs/>
          <w:color w:val="000000"/>
          <w:sz w:val="28"/>
          <w:szCs w:val="28"/>
        </w:rPr>
        <w:t>Консервативное лечение аденом гипофиза.</w:t>
      </w:r>
    </w:p>
    <w:p w:rsidR="00AE120D" w:rsidRDefault="00AE120D" w:rsidP="00AE120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>Медикаментозное лечение можно разделить на три вида</w:t>
      </w:r>
      <w:r w:rsidR="00681E3B" w:rsidRPr="00681E3B">
        <w:rPr>
          <w:iCs/>
          <w:color w:val="000000"/>
          <w:sz w:val="28"/>
          <w:szCs w:val="28"/>
        </w:rPr>
        <w:t xml:space="preserve"> [1,8,13,17]</w:t>
      </w:r>
      <w:r>
        <w:rPr>
          <w:iCs/>
          <w:color w:val="000000"/>
          <w:sz w:val="28"/>
          <w:szCs w:val="28"/>
        </w:rPr>
        <w:t>.</w:t>
      </w:r>
    </w:p>
    <w:p w:rsidR="00AE120D" w:rsidRPr="00AE120D" w:rsidRDefault="00AE120D" w:rsidP="000D131B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709" w:hanging="709"/>
        <w:jc w:val="both"/>
        <w:rPr>
          <w:iCs/>
          <w:color w:val="000000"/>
          <w:sz w:val="28"/>
          <w:szCs w:val="28"/>
          <w:u w:val="single"/>
        </w:rPr>
      </w:pPr>
      <w:r w:rsidRPr="00AE120D">
        <w:rPr>
          <w:iCs/>
          <w:color w:val="000000"/>
          <w:sz w:val="28"/>
          <w:szCs w:val="28"/>
          <w:u w:val="single"/>
        </w:rPr>
        <w:t>Патогенетическая терапия.</w:t>
      </w:r>
      <w:r w:rsidRPr="00AE120D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Лечение препаратами, ингибирующими гиперсекрецию тропных гормонов гипофиза. Данные препараты применяются в качестве комбинированного лечения СТГ-продуцирующих или смешанных СТГ+ПРЛ-секретирующих аденом гипофиза (аналоги соматостатина, агонисты дофамина, агонисты рецепторов гормона роста) или в качестве первичного метода лечения ПРЛ-секретирующих аденом гипофиза (агонисты дофамина).</w:t>
      </w:r>
    </w:p>
    <w:p w:rsidR="00AE120D" w:rsidRPr="00AE120D" w:rsidRDefault="00AE120D" w:rsidP="00681E3B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709" w:hanging="709"/>
        <w:jc w:val="both"/>
        <w:rPr>
          <w:iCs/>
          <w:color w:val="000000"/>
          <w:sz w:val="28"/>
          <w:szCs w:val="28"/>
          <w:u w:val="single"/>
        </w:rPr>
      </w:pPr>
      <w:r>
        <w:rPr>
          <w:iCs/>
          <w:color w:val="000000"/>
          <w:sz w:val="28"/>
          <w:szCs w:val="28"/>
          <w:u w:val="single"/>
        </w:rPr>
        <w:t>Симптоматическая терапия.</w:t>
      </w:r>
      <w:r>
        <w:rPr>
          <w:iCs/>
          <w:color w:val="000000"/>
          <w:sz w:val="28"/>
          <w:szCs w:val="28"/>
        </w:rPr>
        <w:t xml:space="preserve"> Проводится в качестве лечения различных синдромов, сопутствующих основным проявлениям заболевания.</w:t>
      </w:r>
    </w:p>
    <w:p w:rsidR="00AE120D" w:rsidRPr="00AE120D" w:rsidRDefault="00AE120D" w:rsidP="00681E3B">
      <w:pPr>
        <w:pStyle w:val="a3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709" w:hanging="709"/>
        <w:jc w:val="both"/>
        <w:rPr>
          <w:iCs/>
          <w:color w:val="000000"/>
          <w:sz w:val="28"/>
          <w:szCs w:val="28"/>
          <w:u w:val="single"/>
        </w:rPr>
      </w:pPr>
      <w:r>
        <w:rPr>
          <w:iCs/>
          <w:color w:val="000000"/>
          <w:sz w:val="28"/>
          <w:szCs w:val="28"/>
          <w:u w:val="single"/>
        </w:rPr>
        <w:t>Заместительная гормональная терапия.</w:t>
      </w:r>
      <w:r>
        <w:rPr>
          <w:iCs/>
          <w:color w:val="000000"/>
          <w:sz w:val="28"/>
          <w:szCs w:val="28"/>
        </w:rPr>
        <w:t xml:space="preserve"> Применяется для компенсации эндокринной недостаточности у больных с аденомами гипофиза.</w:t>
      </w:r>
    </w:p>
    <w:p w:rsidR="00C201BE" w:rsidRDefault="00C201BE" w:rsidP="00C201BE">
      <w:pPr>
        <w:autoSpaceDE w:val="0"/>
        <w:autoSpaceDN w:val="0"/>
        <w:adjustRightInd w:val="0"/>
        <w:spacing w:line="360" w:lineRule="auto"/>
        <w:ind w:firstLine="708"/>
        <w:jc w:val="center"/>
        <w:rPr>
          <w:b/>
          <w:iCs/>
          <w:color w:val="000000"/>
          <w:sz w:val="28"/>
          <w:szCs w:val="28"/>
        </w:rPr>
      </w:pPr>
      <w:r w:rsidRPr="00C201BE">
        <w:rPr>
          <w:b/>
          <w:iCs/>
          <w:color w:val="000000"/>
          <w:sz w:val="28"/>
          <w:szCs w:val="28"/>
        </w:rPr>
        <w:t>Результаты хирургического лечения аденом гипофиза.</w:t>
      </w:r>
    </w:p>
    <w:p w:rsidR="00C201BE" w:rsidRDefault="00C201BE" w:rsidP="00C201BE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C201BE">
        <w:rPr>
          <w:iCs/>
          <w:color w:val="000000"/>
          <w:sz w:val="28"/>
          <w:szCs w:val="28"/>
        </w:rPr>
        <w:t>Методика эндоскопического</w:t>
      </w:r>
      <w:r w:rsidR="000D131B">
        <w:rPr>
          <w:iCs/>
          <w:color w:val="000000"/>
          <w:sz w:val="28"/>
          <w:szCs w:val="28"/>
        </w:rPr>
        <w:t xml:space="preserve"> эндоназального транссфеноидального</w:t>
      </w:r>
      <w:r w:rsidRPr="00C201BE">
        <w:rPr>
          <w:iCs/>
          <w:color w:val="000000"/>
          <w:sz w:val="28"/>
          <w:szCs w:val="28"/>
        </w:rPr>
        <w:t xml:space="preserve"> удаления аденом гипофиза позволил</w:t>
      </w:r>
      <w:r>
        <w:rPr>
          <w:iCs/>
          <w:color w:val="000000"/>
          <w:sz w:val="28"/>
          <w:szCs w:val="28"/>
        </w:rPr>
        <w:t>а</w:t>
      </w:r>
      <w:r w:rsidRPr="00C201BE">
        <w:rPr>
          <w:iCs/>
          <w:color w:val="000000"/>
          <w:sz w:val="28"/>
          <w:szCs w:val="28"/>
        </w:rPr>
        <w:t xml:space="preserve"> решить основную проблему транссфеноидальной хирургии – отсутствие панорамного обзора операционного поля. Внедрение эндоскопических технологий обеспечивает широкий  обзор зоны вмешательства в условиях хорошей освещенности. Эти факторы создали возможность удаления опухоли под непосредственным визуальным контролем, что привело к повышению показателей радикальности и снижению риска повреждения важных  анатомических образований</w:t>
      </w:r>
      <w:r w:rsidR="000D2EFB" w:rsidRPr="000D2EFB">
        <w:rPr>
          <w:iCs/>
          <w:color w:val="000000"/>
          <w:sz w:val="28"/>
          <w:szCs w:val="28"/>
        </w:rPr>
        <w:t xml:space="preserve"> [2,5</w:t>
      </w:r>
      <w:r w:rsidR="00681E3B" w:rsidRPr="00681E3B">
        <w:rPr>
          <w:iCs/>
          <w:color w:val="000000"/>
          <w:sz w:val="28"/>
          <w:szCs w:val="28"/>
        </w:rPr>
        <w:t>-</w:t>
      </w:r>
      <w:r w:rsidR="000D2EFB" w:rsidRPr="000D2EFB">
        <w:rPr>
          <w:iCs/>
          <w:color w:val="000000"/>
          <w:sz w:val="28"/>
          <w:szCs w:val="28"/>
        </w:rPr>
        <w:t>7,12,14]</w:t>
      </w:r>
      <w:r w:rsidRPr="00C201BE">
        <w:rPr>
          <w:iCs/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 xml:space="preserve"> </w:t>
      </w:r>
    </w:p>
    <w:p w:rsidR="00C201BE" w:rsidRDefault="00C201BE" w:rsidP="00C201BE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C201BE">
        <w:rPr>
          <w:iCs/>
          <w:color w:val="000000"/>
          <w:sz w:val="28"/>
          <w:szCs w:val="28"/>
        </w:rPr>
        <w:t xml:space="preserve">Для суждения о результатах хирургического лечения оценивались следующие показатели: динамика основных клинических синдромов (нейроофтальмологическая симптоматика, неврологический и гормональный статус), радикальность операции, частота и характер </w:t>
      </w:r>
      <w:r w:rsidRPr="00C201BE">
        <w:rPr>
          <w:iCs/>
          <w:color w:val="000000"/>
          <w:sz w:val="28"/>
          <w:szCs w:val="28"/>
        </w:rPr>
        <w:lastRenderedPageBreak/>
        <w:t>послеоперационных осложнений, послеоперационная летальность, количество рецидивов заболевания и т.д.</w:t>
      </w:r>
    </w:p>
    <w:p w:rsidR="008F6D3D" w:rsidRPr="008F6D3D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 xml:space="preserve">Улучшение зрительных функций после операции отмечено </w:t>
      </w:r>
      <w:r>
        <w:rPr>
          <w:iCs/>
          <w:color w:val="000000"/>
          <w:sz w:val="28"/>
          <w:szCs w:val="28"/>
        </w:rPr>
        <w:t xml:space="preserve">у </w:t>
      </w:r>
      <w:r w:rsidRPr="008F6D3D">
        <w:rPr>
          <w:iCs/>
          <w:color w:val="000000"/>
          <w:sz w:val="28"/>
          <w:szCs w:val="28"/>
        </w:rPr>
        <w:t>32%</w:t>
      </w:r>
      <w:r>
        <w:rPr>
          <w:iCs/>
          <w:color w:val="000000"/>
          <w:sz w:val="28"/>
          <w:szCs w:val="28"/>
        </w:rPr>
        <w:t xml:space="preserve"> пациентов с аденомами гипофиза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>
        <w:rPr>
          <w:iCs/>
          <w:color w:val="000000"/>
          <w:sz w:val="28"/>
          <w:szCs w:val="28"/>
        </w:rPr>
        <w:t>.</w:t>
      </w:r>
      <w:r w:rsidRPr="008F6D3D">
        <w:rPr>
          <w:iCs/>
          <w:color w:val="000000"/>
          <w:sz w:val="28"/>
          <w:szCs w:val="28"/>
        </w:rPr>
        <w:t xml:space="preserve"> После эндоскопических</w:t>
      </w:r>
      <w:r>
        <w:rPr>
          <w:iCs/>
          <w:color w:val="000000"/>
          <w:sz w:val="28"/>
          <w:szCs w:val="28"/>
        </w:rPr>
        <w:t xml:space="preserve"> эндоназальных</w:t>
      </w:r>
      <w:r w:rsidRPr="008F6D3D">
        <w:rPr>
          <w:iCs/>
          <w:color w:val="000000"/>
          <w:sz w:val="28"/>
          <w:szCs w:val="28"/>
        </w:rPr>
        <w:t xml:space="preserve"> операций ухудшение зрительных функций к моменту выписки отмечено лишь у </w:t>
      </w:r>
      <w:r>
        <w:rPr>
          <w:iCs/>
          <w:color w:val="000000"/>
          <w:sz w:val="28"/>
          <w:szCs w:val="28"/>
        </w:rPr>
        <w:t>2%</w:t>
      </w:r>
      <w:r w:rsidRPr="008F6D3D">
        <w:rPr>
          <w:iCs/>
          <w:color w:val="000000"/>
          <w:sz w:val="28"/>
          <w:szCs w:val="28"/>
        </w:rPr>
        <w:t xml:space="preserve"> пациентов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>
        <w:rPr>
          <w:iCs/>
          <w:color w:val="000000"/>
          <w:sz w:val="28"/>
          <w:szCs w:val="28"/>
        </w:rPr>
        <w:t>.</w:t>
      </w:r>
      <w:r w:rsidRPr="008F6D3D">
        <w:rPr>
          <w:iCs/>
          <w:color w:val="000000"/>
          <w:sz w:val="28"/>
          <w:szCs w:val="28"/>
        </w:rPr>
        <w:t xml:space="preserve"> </w:t>
      </w:r>
    </w:p>
    <w:p w:rsidR="008F6D3D" w:rsidRPr="008F6D3D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>Исследование гормонального статуса у пациентов с повышенным до операции уровнем тропных гормонов гипофиза показало, что после операции уровень гормонов нормализовался у 74%</w:t>
      </w:r>
      <w:r>
        <w:rPr>
          <w:iCs/>
          <w:color w:val="000000"/>
          <w:sz w:val="28"/>
          <w:szCs w:val="28"/>
        </w:rPr>
        <w:t xml:space="preserve"> пациентов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 w:rsidRPr="008F6D3D">
        <w:rPr>
          <w:iCs/>
          <w:color w:val="000000"/>
          <w:sz w:val="28"/>
          <w:szCs w:val="28"/>
        </w:rPr>
        <w:t xml:space="preserve">. В случаях соматотропином уровень гормона роста нормализовался </w:t>
      </w:r>
      <w:r>
        <w:rPr>
          <w:iCs/>
          <w:color w:val="000000"/>
          <w:sz w:val="28"/>
          <w:szCs w:val="28"/>
        </w:rPr>
        <w:t>у</w:t>
      </w:r>
      <w:r w:rsidRPr="008F6D3D">
        <w:rPr>
          <w:iCs/>
          <w:color w:val="000000"/>
          <w:sz w:val="28"/>
          <w:szCs w:val="28"/>
        </w:rPr>
        <w:t xml:space="preserve"> 75%</w:t>
      </w:r>
      <w:r>
        <w:rPr>
          <w:iCs/>
          <w:color w:val="000000"/>
          <w:sz w:val="28"/>
          <w:szCs w:val="28"/>
        </w:rPr>
        <w:t xml:space="preserve"> пациентов</w:t>
      </w:r>
      <w:r w:rsidRPr="008F6D3D">
        <w:rPr>
          <w:iCs/>
          <w:color w:val="000000"/>
          <w:sz w:val="28"/>
          <w:szCs w:val="28"/>
        </w:rPr>
        <w:t xml:space="preserve">, при пролактиномах </w:t>
      </w:r>
      <w:r>
        <w:rPr>
          <w:iCs/>
          <w:color w:val="000000"/>
          <w:sz w:val="28"/>
          <w:szCs w:val="28"/>
        </w:rPr>
        <w:t xml:space="preserve">- </w:t>
      </w:r>
      <w:r w:rsidRPr="008F6D3D">
        <w:rPr>
          <w:iCs/>
          <w:color w:val="000000"/>
          <w:sz w:val="28"/>
          <w:szCs w:val="28"/>
        </w:rPr>
        <w:t xml:space="preserve">у 71%, </w:t>
      </w:r>
      <w:r>
        <w:rPr>
          <w:iCs/>
          <w:color w:val="000000"/>
          <w:sz w:val="28"/>
          <w:szCs w:val="28"/>
        </w:rPr>
        <w:t xml:space="preserve">при </w:t>
      </w:r>
      <w:r w:rsidRPr="008F6D3D">
        <w:rPr>
          <w:iCs/>
          <w:color w:val="000000"/>
          <w:sz w:val="28"/>
          <w:szCs w:val="28"/>
        </w:rPr>
        <w:t>АКТГ</w:t>
      </w:r>
      <w:r>
        <w:rPr>
          <w:iCs/>
          <w:color w:val="000000"/>
          <w:sz w:val="28"/>
          <w:szCs w:val="28"/>
        </w:rPr>
        <w:t>-секретирующих опухолях нормализация гормонов произошла в 9</w:t>
      </w:r>
      <w:r w:rsidRPr="008F6D3D">
        <w:rPr>
          <w:iCs/>
          <w:color w:val="000000"/>
          <w:sz w:val="28"/>
          <w:szCs w:val="28"/>
        </w:rPr>
        <w:t>1%</w:t>
      </w:r>
      <w:r>
        <w:rPr>
          <w:iCs/>
          <w:color w:val="000000"/>
          <w:sz w:val="28"/>
          <w:szCs w:val="28"/>
        </w:rPr>
        <w:t xml:space="preserve"> наблюдений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 w:rsidRPr="008F6D3D">
        <w:rPr>
          <w:iCs/>
          <w:color w:val="000000"/>
          <w:sz w:val="28"/>
          <w:szCs w:val="28"/>
        </w:rPr>
        <w:t>. Нормализация уровня повышенных до операции гормонов крови реже происходит после удаления опухолей крупного размера (больших и гигантских), чем после удаления аденом меньшего размера</w:t>
      </w:r>
      <w:r w:rsidR="00681E3B">
        <w:rPr>
          <w:iCs/>
          <w:color w:val="000000"/>
          <w:sz w:val="28"/>
          <w:szCs w:val="28"/>
        </w:rPr>
        <w:t xml:space="preserve"> </w:t>
      </w:r>
      <w:r w:rsidR="00681E3B" w:rsidRPr="00681E3B">
        <w:rPr>
          <w:iCs/>
          <w:color w:val="000000"/>
          <w:sz w:val="28"/>
          <w:szCs w:val="28"/>
        </w:rPr>
        <w:t>[5]</w:t>
      </w:r>
      <w:r w:rsidRPr="008F6D3D">
        <w:rPr>
          <w:iCs/>
          <w:color w:val="000000"/>
          <w:sz w:val="28"/>
          <w:szCs w:val="28"/>
        </w:rPr>
        <w:t>.</w:t>
      </w:r>
      <w:r w:rsidRPr="008F6D3D">
        <w:rPr>
          <w:iCs/>
          <w:color w:val="000000"/>
          <w:sz w:val="28"/>
          <w:szCs w:val="28"/>
        </w:rPr>
        <w:tab/>
        <w:t xml:space="preserve">Убедительное появление или нарастание имевшейся до операции недостаточности функции передней доли гипофиза (гипотиреоз и/или гипокортицизм) было нами отмечено </w:t>
      </w:r>
      <w:r>
        <w:rPr>
          <w:iCs/>
          <w:color w:val="000000"/>
          <w:sz w:val="28"/>
          <w:szCs w:val="28"/>
        </w:rPr>
        <w:t xml:space="preserve">в </w:t>
      </w:r>
      <w:r w:rsidRPr="008F6D3D">
        <w:rPr>
          <w:iCs/>
          <w:color w:val="000000"/>
          <w:sz w:val="28"/>
          <w:szCs w:val="28"/>
        </w:rPr>
        <w:t>8,0%</w:t>
      </w:r>
      <w:r>
        <w:rPr>
          <w:iCs/>
          <w:color w:val="000000"/>
          <w:sz w:val="28"/>
          <w:szCs w:val="28"/>
        </w:rPr>
        <w:t xml:space="preserve"> сл</w:t>
      </w:r>
      <w:r w:rsidR="00681E3B">
        <w:rPr>
          <w:iCs/>
          <w:color w:val="000000"/>
          <w:sz w:val="28"/>
          <w:szCs w:val="28"/>
        </w:rPr>
        <w:t>у</w:t>
      </w:r>
      <w:r>
        <w:rPr>
          <w:iCs/>
          <w:color w:val="000000"/>
          <w:sz w:val="28"/>
          <w:szCs w:val="28"/>
        </w:rPr>
        <w:t>чаев</w:t>
      </w:r>
      <w:r w:rsidR="00681E3B">
        <w:rPr>
          <w:iCs/>
          <w:color w:val="000000"/>
          <w:sz w:val="28"/>
          <w:szCs w:val="28"/>
        </w:rPr>
        <w:t xml:space="preserve"> </w:t>
      </w:r>
      <w:r w:rsidR="00681E3B" w:rsidRPr="00681E3B">
        <w:rPr>
          <w:iCs/>
          <w:color w:val="000000"/>
          <w:sz w:val="28"/>
          <w:szCs w:val="28"/>
        </w:rPr>
        <w:t>[5,6]</w:t>
      </w:r>
      <w:r w:rsidRPr="008F6D3D">
        <w:rPr>
          <w:iCs/>
          <w:color w:val="000000"/>
          <w:sz w:val="28"/>
          <w:szCs w:val="28"/>
        </w:rPr>
        <w:t xml:space="preserve">. </w:t>
      </w:r>
    </w:p>
    <w:p w:rsidR="008F6D3D" w:rsidRPr="008F6D3D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>Частота развития в послеоперационном периоде несахарного диабета, что свидетельствует о повреждении нейрогипофиза или стебля гипофиза отмечена нами у 4% пациентов</w:t>
      </w:r>
      <w:r w:rsidR="00681E3B" w:rsidRPr="00681E3B">
        <w:rPr>
          <w:iCs/>
          <w:color w:val="000000"/>
          <w:sz w:val="28"/>
          <w:szCs w:val="28"/>
        </w:rPr>
        <w:t xml:space="preserve">  [5,6]</w:t>
      </w:r>
      <w:r w:rsidRPr="008F6D3D">
        <w:rPr>
          <w:iCs/>
          <w:color w:val="000000"/>
          <w:sz w:val="28"/>
          <w:szCs w:val="28"/>
        </w:rPr>
        <w:t>.</w:t>
      </w:r>
    </w:p>
    <w:p w:rsidR="008F6D3D" w:rsidRPr="008F6D3D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>Степень радикальности удаления опухоли – это фактор, который достоверно влияет на уровень снижения повышенных до операции гормонов и на вероятность возникновения рецидива заболевания</w:t>
      </w:r>
      <w:r w:rsidR="00681E3B" w:rsidRPr="00681E3B">
        <w:rPr>
          <w:iCs/>
          <w:color w:val="000000"/>
          <w:sz w:val="28"/>
          <w:szCs w:val="28"/>
        </w:rPr>
        <w:t xml:space="preserve"> [5,6,10,12,15]</w:t>
      </w:r>
      <w:r w:rsidRPr="008F6D3D">
        <w:rPr>
          <w:iCs/>
          <w:color w:val="000000"/>
          <w:sz w:val="28"/>
          <w:szCs w:val="28"/>
        </w:rPr>
        <w:t xml:space="preserve">. </w:t>
      </w:r>
    </w:p>
    <w:p w:rsidR="00823ED1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 xml:space="preserve">В зависимости от радикальности проведенной операции решается вопрос о целесообразности проведения послеоперационной </w:t>
      </w:r>
      <w:r w:rsidRPr="008F6D3D">
        <w:rPr>
          <w:iCs/>
          <w:color w:val="000000"/>
          <w:sz w:val="28"/>
          <w:szCs w:val="28"/>
        </w:rPr>
        <w:lastRenderedPageBreak/>
        <w:t>медикаментозной терапии, направленной на нормализацию повышенного уровня гормонов крови и вопрос о целесообразности проведения послеоперационного облучения. Тотальное удаление опухоли достигнуто нами у 79%</w:t>
      </w:r>
      <w:r>
        <w:rPr>
          <w:iCs/>
          <w:color w:val="000000"/>
          <w:sz w:val="28"/>
          <w:szCs w:val="28"/>
        </w:rPr>
        <w:t xml:space="preserve"> пациентов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 w:rsidRPr="008F6D3D">
        <w:rPr>
          <w:iCs/>
          <w:color w:val="000000"/>
          <w:sz w:val="28"/>
          <w:szCs w:val="28"/>
        </w:rPr>
        <w:t xml:space="preserve">.  </w:t>
      </w:r>
    </w:p>
    <w:p w:rsidR="008F6D3D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>Одно из наиболее опасных и потенциально летальных осложнений транссфеноидальной хирургии –</w:t>
      </w:r>
      <w:r w:rsidR="000D131B">
        <w:rPr>
          <w:iCs/>
          <w:color w:val="000000"/>
          <w:sz w:val="28"/>
          <w:szCs w:val="28"/>
        </w:rPr>
        <w:t xml:space="preserve"> </w:t>
      </w:r>
      <w:r w:rsidRPr="008F6D3D">
        <w:rPr>
          <w:iCs/>
          <w:color w:val="000000"/>
          <w:sz w:val="28"/>
          <w:szCs w:val="28"/>
        </w:rPr>
        <w:t>послеоперационная назальная ликворея, которая может быть обнаружена при контрольном осмотре ЛОР-врача, а также по характерным клиническим признакам (истечение прозрачной или окрашенной кровью жидкости из полости носа, усиление головной боли при приподнимании головы, низкое давление ликвора при люмбальной пункции и т.д.)</w:t>
      </w:r>
      <w:r w:rsidR="00681E3B" w:rsidRPr="00681E3B">
        <w:rPr>
          <w:iCs/>
          <w:color w:val="000000"/>
          <w:sz w:val="28"/>
          <w:szCs w:val="28"/>
        </w:rPr>
        <w:t xml:space="preserve"> [5,6</w:t>
      </w:r>
      <w:r w:rsidR="00681E3B" w:rsidRPr="005E1D76">
        <w:rPr>
          <w:iCs/>
          <w:color w:val="000000"/>
          <w:sz w:val="28"/>
          <w:szCs w:val="28"/>
        </w:rPr>
        <w:t>,11,16</w:t>
      </w:r>
      <w:r w:rsidR="00681E3B" w:rsidRPr="00681E3B">
        <w:rPr>
          <w:iCs/>
          <w:color w:val="000000"/>
          <w:sz w:val="28"/>
          <w:szCs w:val="28"/>
        </w:rPr>
        <w:t>]</w:t>
      </w:r>
      <w:r w:rsidRPr="008F6D3D">
        <w:rPr>
          <w:iCs/>
          <w:color w:val="000000"/>
          <w:sz w:val="28"/>
          <w:szCs w:val="28"/>
        </w:rPr>
        <w:t>. В нашем материале послеоперационная наза</w:t>
      </w:r>
      <w:r w:rsidR="00823ED1">
        <w:rPr>
          <w:iCs/>
          <w:color w:val="000000"/>
          <w:sz w:val="28"/>
          <w:szCs w:val="28"/>
        </w:rPr>
        <w:t xml:space="preserve">льная ликворея была отмечена у </w:t>
      </w:r>
      <w:r w:rsidRPr="008F6D3D">
        <w:rPr>
          <w:iCs/>
          <w:color w:val="000000"/>
          <w:sz w:val="28"/>
          <w:szCs w:val="28"/>
        </w:rPr>
        <w:t>2</w:t>
      </w:r>
      <w:r w:rsidR="00823ED1">
        <w:rPr>
          <w:iCs/>
          <w:color w:val="000000"/>
          <w:sz w:val="28"/>
          <w:szCs w:val="28"/>
        </w:rPr>
        <w:t>% пациентов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 w:rsidRPr="008F6D3D">
        <w:rPr>
          <w:iCs/>
          <w:color w:val="000000"/>
          <w:sz w:val="28"/>
          <w:szCs w:val="28"/>
        </w:rPr>
        <w:t xml:space="preserve">. </w:t>
      </w:r>
    </w:p>
    <w:p w:rsidR="00823ED1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>Количество послеоперационных менингитов нашем материале составило 2%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 w:rsidR="00823ED1">
        <w:rPr>
          <w:iCs/>
          <w:color w:val="000000"/>
          <w:sz w:val="28"/>
          <w:szCs w:val="28"/>
        </w:rPr>
        <w:t xml:space="preserve">. </w:t>
      </w:r>
    </w:p>
    <w:p w:rsidR="008F6D3D" w:rsidRPr="008F6D3D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>При обнаружении послео</w:t>
      </w:r>
      <w:r w:rsidR="00823ED1">
        <w:rPr>
          <w:iCs/>
          <w:color w:val="000000"/>
          <w:sz w:val="28"/>
          <w:szCs w:val="28"/>
        </w:rPr>
        <w:t xml:space="preserve">перационной назальной ликвореи целесообразно </w:t>
      </w:r>
      <w:r w:rsidRPr="008F6D3D">
        <w:rPr>
          <w:iCs/>
          <w:color w:val="000000"/>
          <w:sz w:val="28"/>
          <w:szCs w:val="28"/>
        </w:rPr>
        <w:t>как можно скорее (не дожидаясь возможного появления воспалительных изменений в ликворе) осуществить повторное вмешательство, найти ликворную фистулу и закрыть ее с использованием как гетерологичных композиций, так и аутотканей (аутожир, фрагмент широкой фасции бедра, ткани резецированной средней носовой раковины или перегородки носа, мукопериостальный слизисто-надкостничный лоскут)</w:t>
      </w:r>
      <w:r w:rsidR="00681E3B" w:rsidRPr="00681E3B">
        <w:t xml:space="preserve"> </w:t>
      </w:r>
      <w:r w:rsidR="00681E3B" w:rsidRPr="00681E3B">
        <w:rPr>
          <w:iCs/>
          <w:color w:val="000000"/>
          <w:sz w:val="28"/>
          <w:szCs w:val="28"/>
        </w:rPr>
        <w:t>[4-7,11,16]</w:t>
      </w:r>
      <w:r w:rsidRPr="008F6D3D">
        <w:rPr>
          <w:iCs/>
          <w:color w:val="000000"/>
          <w:sz w:val="28"/>
          <w:szCs w:val="28"/>
        </w:rPr>
        <w:t xml:space="preserve">. </w:t>
      </w:r>
    </w:p>
    <w:p w:rsidR="008F6D3D" w:rsidRPr="008F6D3D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 xml:space="preserve">Тактика лечения послеоперационного менингита не имеет характерных для эндоскопических вмешательств особенностей – назначается антибактериальная терапия либо эмпирически, либо в зависимости от чувствительности возбудителя (выявленного при микробиологическом </w:t>
      </w:r>
      <w:r w:rsidRPr="008F6D3D">
        <w:rPr>
          <w:iCs/>
          <w:color w:val="000000"/>
          <w:sz w:val="28"/>
          <w:szCs w:val="28"/>
        </w:rPr>
        <w:lastRenderedPageBreak/>
        <w:t xml:space="preserve">исследовании) к тому или иному антибиотику. В связи с тем, что, наличие менингита зачастую является причиной развития артериального вазоспазма, в свою очередь способствующего развитию  ишемических повреждений мозговой ткани и появлению неврологических и психических расстройств, которые отмечены нами у </w:t>
      </w:r>
      <w:r w:rsidR="00823ED1">
        <w:rPr>
          <w:iCs/>
          <w:color w:val="000000"/>
          <w:sz w:val="28"/>
          <w:szCs w:val="28"/>
        </w:rPr>
        <w:t>1,2% пациентов</w:t>
      </w:r>
      <w:r w:rsidRPr="008F6D3D">
        <w:rPr>
          <w:iCs/>
          <w:color w:val="000000"/>
          <w:sz w:val="28"/>
          <w:szCs w:val="28"/>
        </w:rPr>
        <w:t>, проведение адекватной антибиотикопрофилактики чрезвычайно актуально, особенно в тех случаях, когда в капсуле опухоли были выявлены дефекты, через которые была отмечена интраоперационная ликворея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 w:rsidRPr="008F6D3D">
        <w:rPr>
          <w:iCs/>
          <w:color w:val="000000"/>
          <w:sz w:val="28"/>
          <w:szCs w:val="28"/>
        </w:rPr>
        <w:t xml:space="preserve">. </w:t>
      </w:r>
    </w:p>
    <w:p w:rsidR="008F6D3D" w:rsidRPr="008F6D3D" w:rsidRDefault="00823ED1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Менее чем в 1% случаев </w:t>
      </w:r>
      <w:r w:rsidR="008F6D3D" w:rsidRPr="008F6D3D">
        <w:rPr>
          <w:iCs/>
          <w:color w:val="000000"/>
          <w:sz w:val="28"/>
          <w:szCs w:val="28"/>
        </w:rPr>
        <w:t>в разные сроки после операции были зафиксированы носовые кровотечения разной степени интенсивности.  В трех случаях для остановки носового кровотечения оказалось достаточным произвести кратковременную (на 2-3 дня) передне-заднюю тампонаду полости носа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 w:rsidR="008F6D3D" w:rsidRPr="008F6D3D">
        <w:rPr>
          <w:iCs/>
          <w:color w:val="000000"/>
          <w:sz w:val="28"/>
          <w:szCs w:val="28"/>
        </w:rPr>
        <w:t xml:space="preserve">. </w:t>
      </w:r>
    </w:p>
    <w:p w:rsidR="008F6D3D" w:rsidRDefault="008F6D3D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>Одним из наиболее опасным осложнением является повреждение интракавернозного отдела внутренней сонной артерии или ее ветвей</w:t>
      </w:r>
      <w:r w:rsidR="00681E3B" w:rsidRPr="00681E3B">
        <w:rPr>
          <w:iCs/>
          <w:color w:val="000000"/>
          <w:sz w:val="28"/>
          <w:szCs w:val="28"/>
        </w:rPr>
        <w:t xml:space="preserve"> [5,611,16]</w:t>
      </w:r>
      <w:r w:rsidRPr="008F6D3D">
        <w:rPr>
          <w:iCs/>
          <w:color w:val="000000"/>
          <w:sz w:val="28"/>
          <w:szCs w:val="28"/>
        </w:rPr>
        <w:t xml:space="preserve">. Во всех случаях во время операции хирургу удалось остановить артериальное кровотечение, в </w:t>
      </w:r>
      <w:r w:rsidR="00823ED1">
        <w:rPr>
          <w:iCs/>
          <w:color w:val="000000"/>
          <w:sz w:val="28"/>
          <w:szCs w:val="28"/>
        </w:rPr>
        <w:t>ряде</w:t>
      </w:r>
      <w:r w:rsidRPr="008F6D3D">
        <w:rPr>
          <w:iCs/>
          <w:color w:val="000000"/>
          <w:sz w:val="28"/>
          <w:szCs w:val="28"/>
        </w:rPr>
        <w:t xml:space="preserve"> случа</w:t>
      </w:r>
      <w:r w:rsidR="00823ED1">
        <w:rPr>
          <w:iCs/>
          <w:color w:val="000000"/>
          <w:sz w:val="28"/>
          <w:szCs w:val="28"/>
        </w:rPr>
        <w:t>ев</w:t>
      </w:r>
      <w:r w:rsidRPr="008F6D3D">
        <w:rPr>
          <w:iCs/>
          <w:color w:val="000000"/>
          <w:sz w:val="28"/>
          <w:szCs w:val="28"/>
        </w:rPr>
        <w:t xml:space="preserve"> в дальнейшем потребовалось проведение</w:t>
      </w:r>
      <w:r w:rsidR="00823ED1">
        <w:rPr>
          <w:iCs/>
          <w:color w:val="000000"/>
          <w:sz w:val="28"/>
          <w:szCs w:val="28"/>
        </w:rPr>
        <w:t xml:space="preserve"> различных</w:t>
      </w:r>
      <w:r w:rsidRPr="008F6D3D">
        <w:rPr>
          <w:iCs/>
          <w:color w:val="000000"/>
          <w:sz w:val="28"/>
          <w:szCs w:val="28"/>
        </w:rPr>
        <w:t xml:space="preserve"> эндовазальных операций</w:t>
      </w:r>
      <w:r w:rsidR="00823ED1">
        <w:rPr>
          <w:iCs/>
          <w:color w:val="000000"/>
          <w:sz w:val="28"/>
          <w:szCs w:val="28"/>
        </w:rPr>
        <w:t xml:space="preserve">. </w:t>
      </w:r>
    </w:p>
    <w:p w:rsidR="00E077A7" w:rsidRPr="00E077A7" w:rsidRDefault="00E077A7" w:rsidP="008F6D3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/>
          <w:iCs/>
          <w:color w:val="000000"/>
          <w:sz w:val="28"/>
          <w:szCs w:val="28"/>
        </w:rPr>
      </w:pPr>
      <w:r w:rsidRPr="00E077A7">
        <w:rPr>
          <w:rFonts w:asciiTheme="minorHAnsi" w:hAnsiTheme="minorHAnsi"/>
          <w:iCs/>
          <w:sz w:val="28"/>
          <w:szCs w:val="28"/>
        </w:rPr>
        <w:t>При развитии осложнений неврологического характера проводятся методы медицинской реабилитации в соответствии с общими принципами реабилитации нейрохирургических больных</w:t>
      </w:r>
      <w:r>
        <w:rPr>
          <w:rFonts w:asciiTheme="minorHAnsi" w:hAnsiTheme="minorHAnsi"/>
          <w:iCs/>
          <w:sz w:val="28"/>
          <w:szCs w:val="28"/>
        </w:rPr>
        <w:t>.</w:t>
      </w:r>
    </w:p>
    <w:p w:rsidR="00681E3B" w:rsidRPr="00B87BA4" w:rsidRDefault="008F6D3D" w:rsidP="008E091C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iCs/>
          <w:color w:val="000000"/>
          <w:sz w:val="28"/>
          <w:szCs w:val="28"/>
        </w:rPr>
      </w:pPr>
      <w:r w:rsidRPr="008F6D3D">
        <w:rPr>
          <w:iCs/>
          <w:color w:val="000000"/>
          <w:sz w:val="28"/>
          <w:szCs w:val="28"/>
        </w:rPr>
        <w:t>Летальность при эндоскопических эндоназальных транссфеноидальных операциях составила 1,2%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 w:rsidR="00823ED1">
        <w:rPr>
          <w:iCs/>
          <w:color w:val="000000"/>
          <w:sz w:val="28"/>
          <w:szCs w:val="28"/>
        </w:rPr>
        <w:t xml:space="preserve">. </w:t>
      </w:r>
      <w:r w:rsidRPr="008F6D3D">
        <w:rPr>
          <w:iCs/>
          <w:color w:val="000000"/>
          <w:sz w:val="28"/>
          <w:szCs w:val="28"/>
        </w:rPr>
        <w:t>Неблагоприятными признаками, при которых вероятность летального исхода после операции возрастает, являются гигантский размер аденомы, наличие у пациента до операции пирамидной симптомат</w:t>
      </w:r>
      <w:r w:rsidR="00823ED1">
        <w:rPr>
          <w:iCs/>
          <w:color w:val="000000"/>
          <w:sz w:val="28"/>
          <w:szCs w:val="28"/>
        </w:rPr>
        <w:t>ики и/или психических нарушений</w:t>
      </w:r>
      <w:r w:rsidRPr="008F6D3D">
        <w:rPr>
          <w:iCs/>
          <w:color w:val="000000"/>
          <w:sz w:val="28"/>
          <w:szCs w:val="28"/>
        </w:rPr>
        <w:t xml:space="preserve">, </w:t>
      </w:r>
      <w:r w:rsidRPr="008F6D3D">
        <w:rPr>
          <w:iCs/>
          <w:color w:val="000000"/>
          <w:sz w:val="28"/>
          <w:szCs w:val="28"/>
        </w:rPr>
        <w:lastRenderedPageBreak/>
        <w:t>нерадикальное удаление опухоли, а так же пожилой возраст пациента (свыше 60 лет)</w:t>
      </w:r>
      <w:r w:rsidR="00681E3B" w:rsidRPr="00681E3B">
        <w:rPr>
          <w:iCs/>
          <w:color w:val="000000"/>
          <w:sz w:val="28"/>
          <w:szCs w:val="28"/>
        </w:rPr>
        <w:t xml:space="preserve"> [5,6]</w:t>
      </w:r>
      <w:r w:rsidRPr="008F6D3D">
        <w:rPr>
          <w:iCs/>
          <w:color w:val="000000"/>
          <w:sz w:val="28"/>
          <w:szCs w:val="28"/>
        </w:rPr>
        <w:t xml:space="preserve">. </w:t>
      </w:r>
    </w:p>
    <w:p w:rsidR="00EC7AF8" w:rsidRDefault="008E091C" w:rsidP="00EC7AF8">
      <w:pPr>
        <w:autoSpaceDE w:val="0"/>
        <w:autoSpaceDN w:val="0"/>
        <w:adjustRightInd w:val="0"/>
        <w:spacing w:line="360" w:lineRule="auto"/>
        <w:ind w:firstLine="708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Л</w:t>
      </w:r>
      <w:r w:rsidR="00EC7AF8" w:rsidRPr="00EC7AF8">
        <w:rPr>
          <w:b/>
          <w:iCs/>
          <w:color w:val="000000"/>
          <w:sz w:val="28"/>
          <w:szCs w:val="28"/>
        </w:rPr>
        <w:t>итератур</w:t>
      </w:r>
      <w:r>
        <w:rPr>
          <w:b/>
          <w:iCs/>
          <w:color w:val="000000"/>
          <w:sz w:val="28"/>
          <w:szCs w:val="28"/>
        </w:rPr>
        <w:t>а</w:t>
      </w:r>
      <w:r w:rsidR="00EC7AF8" w:rsidRPr="00EC7AF8">
        <w:rPr>
          <w:b/>
          <w:iCs/>
          <w:color w:val="000000"/>
          <w:sz w:val="28"/>
          <w:szCs w:val="28"/>
        </w:rPr>
        <w:t>.</w:t>
      </w:r>
    </w:p>
    <w:p w:rsidR="00EC7AF8" w:rsidRPr="00EC7AF8" w:rsidRDefault="00EC7AF8" w:rsidP="00CB6C31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EC7AF8">
        <w:rPr>
          <w:iCs/>
          <w:color w:val="000000"/>
          <w:sz w:val="28"/>
          <w:szCs w:val="28"/>
        </w:rPr>
        <w:t>1.</w:t>
      </w:r>
      <w:r w:rsidRPr="00EC7AF8">
        <w:rPr>
          <w:iCs/>
          <w:color w:val="000000"/>
          <w:sz w:val="28"/>
          <w:szCs w:val="28"/>
        </w:rPr>
        <w:tab/>
        <w:t>Аденомы гипофиза: клиника, диагностика, лечение [Текст] / Под ред. проф. Б.А. Кадашева. - М., 2007. - 368 с.</w:t>
      </w:r>
    </w:p>
    <w:p w:rsidR="00EC7AF8" w:rsidRPr="00EC7AF8" w:rsidRDefault="00CB6C31" w:rsidP="00EC7AF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</w:t>
      </w:r>
      <w:r w:rsidR="00EC7AF8" w:rsidRPr="00EC7AF8">
        <w:rPr>
          <w:iCs/>
          <w:color w:val="000000"/>
          <w:sz w:val="28"/>
          <w:szCs w:val="28"/>
        </w:rPr>
        <w:t>.</w:t>
      </w:r>
      <w:r w:rsidR="00EC7AF8" w:rsidRPr="00EC7AF8">
        <w:rPr>
          <w:iCs/>
          <w:color w:val="000000"/>
          <w:sz w:val="28"/>
          <w:szCs w:val="28"/>
        </w:rPr>
        <w:tab/>
        <w:t xml:space="preserve">Калинин П.Л., Фомичев Д.В., Кадашев Б.А., </w:t>
      </w:r>
      <w:r w:rsidR="00EC7AF8">
        <w:rPr>
          <w:iCs/>
          <w:color w:val="000000"/>
          <w:sz w:val="28"/>
          <w:szCs w:val="28"/>
        </w:rPr>
        <w:t>с соавт.</w:t>
      </w:r>
      <w:r w:rsidR="00EC7AF8" w:rsidRPr="00EC7AF8">
        <w:rPr>
          <w:iCs/>
          <w:color w:val="000000"/>
          <w:sz w:val="28"/>
          <w:szCs w:val="28"/>
        </w:rPr>
        <w:t xml:space="preserve"> / Методика эндоскопической эндоназальной транссфеноидальной аденомэктомии. //  Журнал вопросы нейpохиpуpгии им. академика Н.Н. Буpденко. – 2007. - № 4. – С. 42-45.</w:t>
      </w:r>
    </w:p>
    <w:p w:rsidR="00EC7AF8" w:rsidRPr="00EC7AF8" w:rsidRDefault="00CB6C31" w:rsidP="00EC7AF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</w:t>
      </w:r>
      <w:r w:rsidR="00EC7AF8" w:rsidRPr="00EC7AF8">
        <w:rPr>
          <w:iCs/>
          <w:color w:val="000000"/>
          <w:sz w:val="28"/>
          <w:szCs w:val="28"/>
        </w:rPr>
        <w:t>.</w:t>
      </w:r>
      <w:r w:rsidR="00EC7AF8" w:rsidRPr="00EC7AF8">
        <w:rPr>
          <w:iCs/>
          <w:color w:val="000000"/>
          <w:sz w:val="28"/>
          <w:szCs w:val="28"/>
        </w:rPr>
        <w:tab/>
        <w:t xml:space="preserve">Калинин П.Л., Фомичев Д.В., Кутин М.А., </w:t>
      </w:r>
      <w:r w:rsidR="00EC7AF8">
        <w:rPr>
          <w:iCs/>
          <w:color w:val="000000"/>
          <w:sz w:val="28"/>
          <w:szCs w:val="28"/>
        </w:rPr>
        <w:t>с соавт.</w:t>
      </w:r>
      <w:r w:rsidR="00EC7AF8" w:rsidRPr="00EC7AF8">
        <w:rPr>
          <w:iCs/>
          <w:color w:val="000000"/>
          <w:sz w:val="28"/>
          <w:szCs w:val="28"/>
        </w:rPr>
        <w:t xml:space="preserve"> / Расширенные эндоскопические эндоназальные транссфеноидальные доступы в хирургии основания черепа. // Журнал вопросы нейpохиpуpгии им. академика Н.Н. Буpденко. – 2008. - № 4. – С. 47-49.</w:t>
      </w:r>
    </w:p>
    <w:p w:rsidR="00CB6C31" w:rsidRDefault="00CB6C31" w:rsidP="00EC7AF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</w:t>
      </w:r>
      <w:r w:rsidR="00EC7AF8" w:rsidRPr="00EC7AF8">
        <w:rPr>
          <w:iCs/>
          <w:color w:val="000000"/>
          <w:sz w:val="28"/>
          <w:szCs w:val="28"/>
        </w:rPr>
        <w:t>.</w:t>
      </w:r>
      <w:r w:rsidR="00EC7AF8" w:rsidRPr="00EC7AF8">
        <w:rPr>
          <w:iCs/>
          <w:color w:val="000000"/>
          <w:sz w:val="28"/>
          <w:szCs w:val="28"/>
        </w:rPr>
        <w:tab/>
        <w:t xml:space="preserve">Кутин М.А., Калинин П.Л., Фомичев Д.В., </w:t>
      </w:r>
      <w:r w:rsidR="00EC7AF8">
        <w:rPr>
          <w:iCs/>
          <w:color w:val="000000"/>
          <w:sz w:val="28"/>
          <w:szCs w:val="28"/>
        </w:rPr>
        <w:t>с соавт</w:t>
      </w:r>
      <w:r w:rsidR="00EC7AF8" w:rsidRPr="00EC7AF8">
        <w:rPr>
          <w:iCs/>
          <w:color w:val="000000"/>
          <w:sz w:val="28"/>
          <w:szCs w:val="28"/>
        </w:rPr>
        <w:t>. / Опыт применения аутотканей с сохраненным кровоснабжением для пластики дефектов основания черепа после эндоскопических транссфеноидальных вмешательств.  // Журнал вопросы нейpохиpуpгии им. академика Н.Н. Буpденко. – 2012. - № 2. – С</w:t>
      </w:r>
      <w:r>
        <w:rPr>
          <w:iCs/>
          <w:color w:val="000000"/>
          <w:sz w:val="28"/>
          <w:szCs w:val="28"/>
        </w:rPr>
        <w:t>. 42-49.</w:t>
      </w:r>
      <w:r w:rsidRPr="00CB6C31">
        <w:rPr>
          <w:iCs/>
          <w:color w:val="000000"/>
          <w:sz w:val="28"/>
          <w:szCs w:val="28"/>
        </w:rPr>
        <w:t xml:space="preserve"> </w:t>
      </w:r>
    </w:p>
    <w:p w:rsidR="00EC7AF8" w:rsidRPr="00EC7AF8" w:rsidRDefault="00CB6C31" w:rsidP="00EC7AF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5.   </w:t>
      </w:r>
      <w:r w:rsidRPr="00EC7AF8">
        <w:rPr>
          <w:iCs/>
          <w:color w:val="000000"/>
          <w:sz w:val="28"/>
          <w:szCs w:val="28"/>
        </w:rPr>
        <w:t>Калинин, П.Л. Эндоскопическая транссфеноидальная хирургия аденом гипофиза и других опухолей околоселлярной локализации [Текст]: автореф. дис. … доктора мед. наук. – М., 2009.</w:t>
      </w:r>
    </w:p>
    <w:p w:rsidR="00EC7AF8" w:rsidRDefault="00CB6C31" w:rsidP="00EC7AF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</w:t>
      </w:r>
      <w:r w:rsidR="00EC7AF8" w:rsidRPr="00EC7AF8">
        <w:rPr>
          <w:iCs/>
          <w:color w:val="000000"/>
          <w:sz w:val="28"/>
          <w:szCs w:val="28"/>
        </w:rPr>
        <w:t>.</w:t>
      </w:r>
      <w:r w:rsidR="00EC7AF8" w:rsidRPr="00EC7AF8">
        <w:rPr>
          <w:iCs/>
          <w:color w:val="000000"/>
          <w:sz w:val="28"/>
          <w:szCs w:val="28"/>
        </w:rPr>
        <w:tab/>
        <w:t xml:space="preserve">Калинин П.Л., Фомичев Д.В., Кутин М.А., </w:t>
      </w:r>
      <w:r w:rsidR="00EC7AF8">
        <w:rPr>
          <w:iCs/>
          <w:color w:val="000000"/>
          <w:sz w:val="28"/>
          <w:szCs w:val="28"/>
        </w:rPr>
        <w:t xml:space="preserve">с соавт. </w:t>
      </w:r>
      <w:r w:rsidR="00EC7AF8" w:rsidRPr="00EC7AF8">
        <w:rPr>
          <w:iCs/>
          <w:color w:val="000000"/>
          <w:sz w:val="28"/>
          <w:szCs w:val="28"/>
        </w:rPr>
        <w:t>/ Эндоскопическая эндоназальная хирургия аденом гипофиза (опыт 1700 операций).  // Журнал вопросы нейpохиpуpгии им. академика Н.Н. Буpденко. – 2012. - № 3. – С</w:t>
      </w:r>
      <w:r>
        <w:rPr>
          <w:iCs/>
          <w:color w:val="000000"/>
          <w:sz w:val="28"/>
          <w:szCs w:val="28"/>
        </w:rPr>
        <w:t>. 26-33.</w:t>
      </w:r>
    </w:p>
    <w:p w:rsidR="00EC7AF8" w:rsidRPr="00EC7AF8" w:rsidRDefault="00CB6C31" w:rsidP="00C33E7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>7</w:t>
      </w:r>
      <w:r w:rsidR="00EC7AF8" w:rsidRPr="00EC7AF8">
        <w:rPr>
          <w:iCs/>
          <w:color w:val="000000"/>
          <w:sz w:val="28"/>
          <w:szCs w:val="28"/>
        </w:rPr>
        <w:t>.</w:t>
      </w:r>
      <w:r w:rsidR="00EC7AF8" w:rsidRPr="00EC7AF8">
        <w:rPr>
          <w:iCs/>
          <w:color w:val="000000"/>
          <w:sz w:val="28"/>
          <w:szCs w:val="28"/>
        </w:rPr>
        <w:tab/>
        <w:t>Фомичев, Д.В. Эндоскопическое эндоназальное удаление аденом гипофиза (анатомическое обоснование, методика проведения операций и ближайшие результаты)  [Текст]: автореф. дис. …канд. мед. наук. – М., 2007. – 25c.</w:t>
      </w:r>
    </w:p>
    <w:p w:rsidR="00C33E7D" w:rsidRPr="00C33E7D" w:rsidRDefault="00CB6C31" w:rsidP="00C33E7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 w:rsidRPr="00CB6C31">
        <w:rPr>
          <w:iCs/>
          <w:color w:val="000000"/>
          <w:sz w:val="28"/>
          <w:szCs w:val="28"/>
          <w:lang w:val="en-US"/>
        </w:rPr>
        <w:t>8</w:t>
      </w:r>
      <w:r w:rsidR="00EC7AF8" w:rsidRPr="00EC7AF8">
        <w:rPr>
          <w:iCs/>
          <w:color w:val="000000"/>
          <w:sz w:val="28"/>
          <w:szCs w:val="28"/>
          <w:lang w:val="en-US"/>
        </w:rPr>
        <w:t>.</w:t>
      </w:r>
      <w:r w:rsidR="00EC7AF8" w:rsidRPr="00EC7AF8">
        <w:rPr>
          <w:iCs/>
          <w:color w:val="000000"/>
          <w:sz w:val="28"/>
          <w:szCs w:val="28"/>
          <w:lang w:val="en-US"/>
        </w:rPr>
        <w:tab/>
      </w:r>
      <w:r w:rsidR="00C33E7D" w:rsidRPr="00C33E7D">
        <w:rPr>
          <w:iCs/>
          <w:color w:val="000000"/>
          <w:sz w:val="28"/>
          <w:szCs w:val="28"/>
          <w:lang w:val="en-US"/>
        </w:rPr>
        <w:t>Katznelson</w:t>
      </w:r>
      <w:r w:rsidR="00C33E7D">
        <w:rPr>
          <w:iCs/>
          <w:color w:val="000000"/>
          <w:sz w:val="28"/>
          <w:szCs w:val="28"/>
          <w:lang w:val="en-US"/>
        </w:rPr>
        <w:t xml:space="preserve"> L.</w:t>
      </w:r>
      <w:r w:rsidR="00C33E7D" w:rsidRPr="00C33E7D">
        <w:rPr>
          <w:iCs/>
          <w:color w:val="000000"/>
          <w:sz w:val="28"/>
          <w:szCs w:val="28"/>
          <w:lang w:val="en-US"/>
        </w:rPr>
        <w:t>, Atkinson</w:t>
      </w:r>
      <w:r w:rsidR="00C33E7D">
        <w:rPr>
          <w:iCs/>
          <w:color w:val="000000"/>
          <w:sz w:val="28"/>
          <w:szCs w:val="28"/>
          <w:lang w:val="en-US"/>
        </w:rPr>
        <w:t xml:space="preserve"> J.</w:t>
      </w:r>
      <w:r w:rsidR="00C33E7D" w:rsidRPr="00C33E7D">
        <w:rPr>
          <w:iCs/>
          <w:color w:val="000000"/>
          <w:sz w:val="28"/>
          <w:szCs w:val="28"/>
          <w:lang w:val="en-US"/>
        </w:rPr>
        <w:t>,</w:t>
      </w:r>
      <w:r w:rsidR="00C33E7D">
        <w:rPr>
          <w:iCs/>
          <w:color w:val="000000"/>
          <w:sz w:val="28"/>
          <w:szCs w:val="28"/>
          <w:lang w:val="en-US"/>
        </w:rPr>
        <w:t xml:space="preserve"> Cook D., et al</w:t>
      </w:r>
      <w:r w:rsidR="00C33E7D" w:rsidRPr="00C33E7D">
        <w:rPr>
          <w:iCs/>
          <w:color w:val="000000"/>
          <w:sz w:val="28"/>
          <w:szCs w:val="28"/>
          <w:lang w:val="en-US"/>
        </w:rPr>
        <w:t>:</w:t>
      </w:r>
      <w:r w:rsidR="00C33E7D">
        <w:rPr>
          <w:iCs/>
          <w:color w:val="000000"/>
          <w:sz w:val="28"/>
          <w:szCs w:val="28"/>
          <w:lang w:val="en-US"/>
        </w:rPr>
        <w:t xml:space="preserve"> </w:t>
      </w:r>
      <w:r w:rsidR="00C33E7D" w:rsidRPr="00C33E7D">
        <w:rPr>
          <w:iCs/>
          <w:color w:val="000000"/>
          <w:sz w:val="28"/>
          <w:szCs w:val="28"/>
          <w:lang w:val="en-US"/>
        </w:rPr>
        <w:t>American Association of Clinical Endocrinologists Medical Guidelines for Clinical Practice for the diagnosis and treatment of acromegaly.</w:t>
      </w:r>
      <w:r w:rsidR="00C33E7D" w:rsidRPr="00C33E7D">
        <w:rPr>
          <w:lang w:val="en-US"/>
        </w:rPr>
        <w:t xml:space="preserve"> </w:t>
      </w:r>
      <w:r w:rsidR="00C33E7D" w:rsidRPr="00C33E7D">
        <w:rPr>
          <w:iCs/>
          <w:color w:val="000000"/>
          <w:sz w:val="28"/>
          <w:szCs w:val="28"/>
          <w:lang w:val="en-US"/>
        </w:rPr>
        <w:t>Endocrine practice Vol 17 (suppl 4) July/August 2011</w:t>
      </w:r>
    </w:p>
    <w:p w:rsidR="00EC7AF8" w:rsidRPr="00EC7AF8" w:rsidRDefault="00C33E7D" w:rsidP="00C33E7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sz w:val="28"/>
          <w:szCs w:val="28"/>
          <w:lang w:val="en-US"/>
        </w:rPr>
        <w:t xml:space="preserve">9.  </w:t>
      </w:r>
      <w:r w:rsidR="00EC7AF8" w:rsidRPr="00EC7AF8">
        <w:rPr>
          <w:iCs/>
          <w:color w:val="000000"/>
          <w:sz w:val="28"/>
          <w:szCs w:val="28"/>
          <w:lang w:val="en-US"/>
        </w:rPr>
        <w:t xml:space="preserve">Cappabianca P, Alfieri A, de Divitiis E: Endoscopic endonasal transsphenoidal approach to the sella: towards functional endoscopic pituitary surgery (FEPS). Minim Invasive Neurosurg 41:66–73, 1998 </w:t>
      </w:r>
    </w:p>
    <w:p w:rsidR="00EC7AF8" w:rsidRPr="00EC7AF8" w:rsidRDefault="00C33E7D" w:rsidP="00EC7AF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sz w:val="28"/>
          <w:szCs w:val="28"/>
          <w:lang w:val="en-US"/>
        </w:rPr>
        <w:t>10</w:t>
      </w:r>
      <w:r w:rsidR="00EC7AF8" w:rsidRPr="00EC7AF8">
        <w:rPr>
          <w:iCs/>
          <w:color w:val="000000"/>
          <w:sz w:val="28"/>
          <w:szCs w:val="28"/>
          <w:lang w:val="en-US"/>
        </w:rPr>
        <w:t>.</w:t>
      </w:r>
      <w:r w:rsidR="00EC7AF8" w:rsidRPr="00EC7AF8">
        <w:rPr>
          <w:iCs/>
          <w:color w:val="000000"/>
          <w:sz w:val="28"/>
          <w:szCs w:val="28"/>
          <w:lang w:val="en-US"/>
        </w:rPr>
        <w:tab/>
        <w:t xml:space="preserve">Cappabianca P, Cavallo LM, Colao A, et al: Endoscopic endonasal transsphenoidal approach: outcome analysis of 100 consecutive procedures. Minim Invasive Neurosurg 45:193–200, 2002 </w:t>
      </w:r>
    </w:p>
    <w:p w:rsidR="00EC7AF8" w:rsidRPr="00EC7AF8" w:rsidRDefault="00EC7AF8" w:rsidP="00EC7AF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 w:rsidRPr="00EC7AF8">
        <w:rPr>
          <w:iCs/>
          <w:color w:val="000000"/>
          <w:sz w:val="28"/>
          <w:szCs w:val="28"/>
          <w:lang w:val="en-US"/>
        </w:rPr>
        <w:t>1</w:t>
      </w:r>
      <w:r w:rsidR="00C33E7D">
        <w:rPr>
          <w:iCs/>
          <w:color w:val="000000"/>
          <w:sz w:val="28"/>
          <w:szCs w:val="28"/>
          <w:lang w:val="en-US"/>
        </w:rPr>
        <w:t>1</w:t>
      </w:r>
      <w:r w:rsidRPr="00EC7AF8">
        <w:rPr>
          <w:iCs/>
          <w:color w:val="000000"/>
          <w:sz w:val="28"/>
          <w:szCs w:val="28"/>
          <w:lang w:val="en-US"/>
        </w:rPr>
        <w:t>.</w:t>
      </w:r>
      <w:r w:rsidRPr="00EC7AF8">
        <w:rPr>
          <w:iCs/>
          <w:color w:val="000000"/>
          <w:sz w:val="28"/>
          <w:szCs w:val="28"/>
          <w:lang w:val="en-US"/>
        </w:rPr>
        <w:tab/>
        <w:t xml:space="preserve">Cappabianca P, Cavallo LM, Colao A, et al: Surgical complications associated with the endoscopic endonasal transsphenoidal approach for pituitary adenomas. J Neurosurg 97:293–298. 2002 </w:t>
      </w:r>
    </w:p>
    <w:p w:rsidR="00EC7AF8" w:rsidRPr="000D2EFB" w:rsidRDefault="00CB6C31" w:rsidP="00CB6C31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sz w:val="28"/>
          <w:szCs w:val="28"/>
          <w:lang w:val="en-US"/>
        </w:rPr>
        <w:t>1</w:t>
      </w:r>
      <w:r w:rsidR="00C33E7D">
        <w:rPr>
          <w:iCs/>
          <w:color w:val="000000"/>
          <w:sz w:val="28"/>
          <w:szCs w:val="28"/>
          <w:lang w:val="en-US"/>
        </w:rPr>
        <w:t>2</w:t>
      </w:r>
      <w:r w:rsidR="00EC7AF8" w:rsidRPr="00EC7AF8">
        <w:rPr>
          <w:iCs/>
          <w:color w:val="000000"/>
          <w:sz w:val="28"/>
          <w:szCs w:val="28"/>
          <w:lang w:val="en-US"/>
        </w:rPr>
        <w:t>.</w:t>
      </w:r>
      <w:r w:rsidR="00EC7AF8" w:rsidRPr="00EC7AF8">
        <w:rPr>
          <w:iCs/>
          <w:color w:val="000000"/>
          <w:sz w:val="28"/>
          <w:szCs w:val="28"/>
          <w:lang w:val="en-US"/>
        </w:rPr>
        <w:tab/>
        <w:t>Cappabianca P, Cavallo LM, de Divitiis E: Endoscopic endonasal transsphenoidal surgery.</w:t>
      </w:r>
      <w:r>
        <w:rPr>
          <w:iCs/>
          <w:color w:val="000000"/>
          <w:sz w:val="28"/>
          <w:szCs w:val="28"/>
          <w:lang w:val="en-US"/>
        </w:rPr>
        <w:t xml:space="preserve"> Neurosurgery 55:933–941, 2004 </w:t>
      </w:r>
    </w:p>
    <w:p w:rsidR="00C33E7D" w:rsidRPr="00C33E7D" w:rsidRDefault="00EC7AF8" w:rsidP="00C33E7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 w:rsidRPr="00EC7AF8">
        <w:rPr>
          <w:iCs/>
          <w:color w:val="000000"/>
          <w:sz w:val="28"/>
          <w:szCs w:val="28"/>
          <w:lang w:val="en-US"/>
        </w:rPr>
        <w:t>1</w:t>
      </w:r>
      <w:r w:rsidR="00CB6C31" w:rsidRPr="000D2EFB">
        <w:rPr>
          <w:iCs/>
          <w:color w:val="000000"/>
          <w:sz w:val="28"/>
          <w:szCs w:val="28"/>
          <w:lang w:val="en-US"/>
        </w:rPr>
        <w:t>3</w:t>
      </w:r>
      <w:r w:rsidR="00C33E7D">
        <w:rPr>
          <w:iCs/>
          <w:color w:val="000000"/>
          <w:sz w:val="28"/>
          <w:szCs w:val="28"/>
          <w:lang w:val="en-US"/>
        </w:rPr>
        <w:t>.    Casanueva F.</w:t>
      </w:r>
      <w:r w:rsidR="00C33E7D" w:rsidRPr="00C33E7D">
        <w:rPr>
          <w:iCs/>
          <w:color w:val="000000"/>
          <w:sz w:val="28"/>
          <w:szCs w:val="28"/>
          <w:lang w:val="en-US"/>
        </w:rPr>
        <w:t>,</w:t>
      </w:r>
      <w:r w:rsidR="00C33E7D">
        <w:rPr>
          <w:iCs/>
          <w:color w:val="000000"/>
          <w:sz w:val="28"/>
          <w:szCs w:val="28"/>
          <w:lang w:val="en-US"/>
        </w:rPr>
        <w:t xml:space="preserve"> </w:t>
      </w:r>
      <w:r w:rsidR="00C33E7D" w:rsidRPr="00C33E7D">
        <w:rPr>
          <w:iCs/>
          <w:color w:val="000000"/>
          <w:sz w:val="28"/>
          <w:szCs w:val="28"/>
          <w:lang w:val="en-US"/>
        </w:rPr>
        <w:t>Molitch</w:t>
      </w:r>
      <w:r w:rsidR="00C33E7D">
        <w:rPr>
          <w:iCs/>
          <w:color w:val="000000"/>
          <w:sz w:val="28"/>
          <w:szCs w:val="28"/>
          <w:lang w:val="en-US"/>
        </w:rPr>
        <w:t xml:space="preserve"> M.</w:t>
      </w:r>
      <w:r w:rsidR="00C33E7D" w:rsidRPr="00C33E7D">
        <w:rPr>
          <w:iCs/>
          <w:color w:val="000000"/>
          <w:sz w:val="28"/>
          <w:szCs w:val="28"/>
          <w:lang w:val="en-US"/>
        </w:rPr>
        <w:t>,</w:t>
      </w:r>
      <w:r w:rsidR="00C33E7D">
        <w:rPr>
          <w:iCs/>
          <w:color w:val="000000"/>
          <w:sz w:val="28"/>
          <w:szCs w:val="28"/>
          <w:lang w:val="en-US"/>
        </w:rPr>
        <w:t xml:space="preserve"> </w:t>
      </w:r>
      <w:r w:rsidR="00C33E7D" w:rsidRPr="00C33E7D">
        <w:rPr>
          <w:iCs/>
          <w:color w:val="000000"/>
          <w:sz w:val="28"/>
          <w:szCs w:val="28"/>
          <w:lang w:val="en-US"/>
        </w:rPr>
        <w:t xml:space="preserve"> Schlechte</w:t>
      </w:r>
      <w:r w:rsidR="00C33E7D">
        <w:rPr>
          <w:iCs/>
          <w:color w:val="000000"/>
          <w:sz w:val="28"/>
          <w:szCs w:val="28"/>
          <w:lang w:val="en-US"/>
        </w:rPr>
        <w:t xml:space="preserve"> J. et al.</w:t>
      </w:r>
      <w:r w:rsidR="00C33E7D" w:rsidRPr="00C33E7D">
        <w:rPr>
          <w:iCs/>
          <w:color w:val="000000"/>
          <w:sz w:val="28"/>
          <w:szCs w:val="28"/>
          <w:lang w:val="en-US"/>
        </w:rPr>
        <w:t>: Guidelines of the Pituitary Society for the diagnosis and management of prolactinomas</w:t>
      </w:r>
      <w:r w:rsidR="00C33E7D">
        <w:rPr>
          <w:iCs/>
          <w:color w:val="000000"/>
          <w:sz w:val="28"/>
          <w:szCs w:val="28"/>
          <w:lang w:val="en-US"/>
        </w:rPr>
        <w:t xml:space="preserve">. </w:t>
      </w:r>
      <w:r w:rsidR="00C33E7D" w:rsidRPr="00C33E7D">
        <w:rPr>
          <w:iCs/>
          <w:color w:val="000000"/>
          <w:sz w:val="28"/>
          <w:szCs w:val="28"/>
          <w:lang w:val="en-US"/>
        </w:rPr>
        <w:t>Clinical Endocrinology</w:t>
      </w:r>
      <w:r w:rsidR="00C33E7D">
        <w:rPr>
          <w:iCs/>
          <w:color w:val="000000"/>
          <w:sz w:val="28"/>
          <w:szCs w:val="28"/>
          <w:lang w:val="en-US"/>
        </w:rPr>
        <w:t xml:space="preserve">. – 2006. - </w:t>
      </w:r>
      <w:hyperlink r:id="rId7" w:history="1">
        <w:r w:rsidR="00C33E7D" w:rsidRPr="00C33E7D">
          <w:rPr>
            <w:iCs/>
            <w:color w:val="000000"/>
            <w:sz w:val="28"/>
            <w:szCs w:val="28"/>
            <w:lang w:val="en-US"/>
          </w:rPr>
          <w:t>Vol.  65, Iss 2,</w:t>
        </w:r>
      </w:hyperlink>
      <w:r w:rsidR="00C33E7D">
        <w:rPr>
          <w:iCs/>
          <w:color w:val="000000"/>
          <w:sz w:val="28"/>
          <w:szCs w:val="28"/>
          <w:lang w:val="en-US"/>
        </w:rPr>
        <w:t xml:space="preserve"> </w:t>
      </w:r>
      <w:r w:rsidR="00C33E7D" w:rsidRPr="00C33E7D">
        <w:rPr>
          <w:iCs/>
          <w:color w:val="000000"/>
          <w:sz w:val="28"/>
          <w:szCs w:val="28"/>
          <w:lang w:val="en-US"/>
        </w:rPr>
        <w:t>p</w:t>
      </w:r>
      <w:r w:rsidR="00C33E7D">
        <w:rPr>
          <w:iCs/>
          <w:color w:val="000000"/>
          <w:sz w:val="28"/>
          <w:szCs w:val="28"/>
          <w:lang w:val="en-US"/>
        </w:rPr>
        <w:t>.</w:t>
      </w:r>
      <w:r w:rsidR="00C33E7D" w:rsidRPr="00C33E7D">
        <w:rPr>
          <w:iCs/>
          <w:color w:val="000000"/>
          <w:sz w:val="28"/>
          <w:szCs w:val="28"/>
          <w:lang w:val="en-US"/>
        </w:rPr>
        <w:t xml:space="preserve"> 265–273</w:t>
      </w:r>
      <w:r w:rsidR="00C33E7D">
        <w:rPr>
          <w:iCs/>
          <w:color w:val="000000"/>
          <w:sz w:val="28"/>
          <w:szCs w:val="28"/>
          <w:lang w:val="en-US"/>
        </w:rPr>
        <w:t>.</w:t>
      </w:r>
    </w:p>
    <w:p w:rsidR="00EC7AF8" w:rsidRPr="00BE64D7" w:rsidRDefault="00C33E7D" w:rsidP="00EC7AF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sz w:val="28"/>
          <w:szCs w:val="28"/>
          <w:lang w:val="en-US"/>
        </w:rPr>
        <w:t xml:space="preserve">14.   </w:t>
      </w:r>
      <w:r w:rsidR="00CB6C31" w:rsidRPr="00CB6C31">
        <w:rPr>
          <w:iCs/>
          <w:color w:val="000000"/>
          <w:sz w:val="28"/>
          <w:szCs w:val="28"/>
          <w:lang w:val="en-US"/>
        </w:rPr>
        <w:t>E. de Divitiis, L.M. Cavallo, P. Cappabianca./ Extended endoscopic endonasal transsphenoidal approach for the removal of suprasellar tumors: part 2. [Text] // Neurosurgery. -2007. – Vol. 60. – P. 46–59.</w:t>
      </w:r>
    </w:p>
    <w:p w:rsidR="00CB6C31" w:rsidRPr="00CB6C31" w:rsidRDefault="00CB6C31" w:rsidP="00EC7AF8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 w:rsidRPr="00CB6C31">
        <w:rPr>
          <w:iCs/>
          <w:color w:val="000000"/>
          <w:sz w:val="28"/>
          <w:szCs w:val="28"/>
          <w:lang w:val="en-US"/>
        </w:rPr>
        <w:lastRenderedPageBreak/>
        <w:t>1</w:t>
      </w:r>
      <w:r w:rsidR="00C33E7D">
        <w:rPr>
          <w:iCs/>
          <w:color w:val="000000"/>
          <w:sz w:val="28"/>
          <w:szCs w:val="28"/>
          <w:lang w:val="en-US"/>
        </w:rPr>
        <w:t>5</w:t>
      </w:r>
      <w:r w:rsidRPr="00CB6C31">
        <w:rPr>
          <w:iCs/>
          <w:color w:val="000000"/>
          <w:sz w:val="28"/>
          <w:szCs w:val="28"/>
          <w:lang w:val="en-US"/>
        </w:rPr>
        <w:t xml:space="preserve">.    </w:t>
      </w:r>
      <w:r w:rsidRPr="00EC7AF8">
        <w:rPr>
          <w:iCs/>
          <w:color w:val="000000"/>
          <w:sz w:val="28"/>
          <w:szCs w:val="28"/>
          <w:lang w:val="en-US"/>
        </w:rPr>
        <w:t xml:space="preserve">Jho HD, Carrau RL: Endoscopic endonasal transsphenoidal surgery: experience with 50 patients. </w:t>
      </w:r>
      <w:r w:rsidRPr="00CB6C31">
        <w:rPr>
          <w:iCs/>
          <w:color w:val="000000"/>
          <w:sz w:val="28"/>
          <w:szCs w:val="28"/>
          <w:lang w:val="en-US"/>
        </w:rPr>
        <w:t>J Neurosurg 87:44–51, 1997.</w:t>
      </w:r>
    </w:p>
    <w:p w:rsidR="00CB6C31" w:rsidRDefault="00C33E7D" w:rsidP="00CB6C31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sz w:val="28"/>
          <w:szCs w:val="28"/>
          <w:lang w:val="en-US"/>
        </w:rPr>
        <w:t>16</w:t>
      </w:r>
      <w:r w:rsidR="00CB6C31" w:rsidRPr="00CB6C31">
        <w:rPr>
          <w:iCs/>
          <w:color w:val="000000"/>
          <w:sz w:val="28"/>
          <w:szCs w:val="28"/>
          <w:lang w:val="en-US"/>
        </w:rPr>
        <w:t>.</w:t>
      </w:r>
      <w:r w:rsidR="00CB6C31" w:rsidRPr="00CB6C31">
        <w:rPr>
          <w:iCs/>
          <w:color w:val="000000"/>
          <w:sz w:val="28"/>
          <w:szCs w:val="28"/>
          <w:lang w:val="en-US"/>
        </w:rPr>
        <w:tab/>
      </w:r>
      <w:r w:rsidR="00CB6C31">
        <w:rPr>
          <w:iCs/>
          <w:color w:val="000000"/>
          <w:sz w:val="28"/>
          <w:szCs w:val="28"/>
          <w:lang w:val="en-US"/>
        </w:rPr>
        <w:t xml:space="preserve">Kassam A,  </w:t>
      </w:r>
      <w:r w:rsidR="00CB6C31" w:rsidRPr="00CB6C31">
        <w:rPr>
          <w:iCs/>
          <w:color w:val="000000"/>
          <w:sz w:val="28"/>
          <w:szCs w:val="28"/>
          <w:lang w:val="en-US"/>
        </w:rPr>
        <w:t>Prevedello</w:t>
      </w:r>
      <w:r w:rsidR="00CB6C31">
        <w:rPr>
          <w:iCs/>
          <w:color w:val="000000"/>
          <w:sz w:val="28"/>
          <w:szCs w:val="28"/>
          <w:lang w:val="en-US"/>
        </w:rPr>
        <w:t xml:space="preserve"> D</w:t>
      </w:r>
      <w:r w:rsidR="00CB6C31" w:rsidRPr="00CB6C31">
        <w:rPr>
          <w:iCs/>
          <w:color w:val="000000"/>
          <w:sz w:val="28"/>
          <w:szCs w:val="28"/>
          <w:lang w:val="en-US"/>
        </w:rPr>
        <w:t>,</w:t>
      </w:r>
      <w:r w:rsidR="00CB6C31">
        <w:rPr>
          <w:iCs/>
          <w:color w:val="000000"/>
          <w:sz w:val="28"/>
          <w:szCs w:val="28"/>
          <w:lang w:val="en-US"/>
        </w:rPr>
        <w:t xml:space="preserve"> </w:t>
      </w:r>
      <w:r w:rsidR="00CB6C31" w:rsidRPr="00CB6C31">
        <w:rPr>
          <w:iCs/>
          <w:color w:val="000000"/>
          <w:sz w:val="28"/>
          <w:szCs w:val="28"/>
          <w:lang w:val="en-US"/>
        </w:rPr>
        <w:t>Carrau</w:t>
      </w:r>
      <w:r w:rsidR="00CB6C31">
        <w:rPr>
          <w:iCs/>
          <w:color w:val="000000"/>
          <w:sz w:val="28"/>
          <w:szCs w:val="28"/>
          <w:lang w:val="en-US"/>
        </w:rPr>
        <w:t xml:space="preserve"> R, et al</w:t>
      </w:r>
      <w:r w:rsidR="00CB6C31" w:rsidRPr="00CB6C31">
        <w:rPr>
          <w:iCs/>
          <w:color w:val="000000"/>
          <w:sz w:val="28"/>
          <w:szCs w:val="28"/>
          <w:lang w:val="en-US"/>
        </w:rPr>
        <w:t>: Endoscopic endonasal skull base surgery: analysis of</w:t>
      </w:r>
      <w:r w:rsidR="00CB6C31">
        <w:rPr>
          <w:iCs/>
          <w:color w:val="000000"/>
          <w:sz w:val="28"/>
          <w:szCs w:val="28"/>
          <w:lang w:val="en-US"/>
        </w:rPr>
        <w:t xml:space="preserve"> </w:t>
      </w:r>
      <w:r w:rsidR="00CB6C31" w:rsidRPr="00CB6C31">
        <w:rPr>
          <w:iCs/>
          <w:color w:val="000000"/>
          <w:sz w:val="28"/>
          <w:szCs w:val="28"/>
          <w:lang w:val="en-US"/>
        </w:rPr>
        <w:t>complications in the authors’ initial 800 patients</w:t>
      </w:r>
      <w:r w:rsidR="00CB6C31">
        <w:rPr>
          <w:iCs/>
          <w:color w:val="000000"/>
          <w:sz w:val="28"/>
          <w:szCs w:val="28"/>
          <w:lang w:val="en-US"/>
        </w:rPr>
        <w:t xml:space="preserve">. </w:t>
      </w:r>
      <w:r w:rsidR="00CB6C31" w:rsidRPr="00CB6C31">
        <w:rPr>
          <w:iCs/>
          <w:color w:val="000000"/>
          <w:sz w:val="28"/>
          <w:szCs w:val="28"/>
          <w:lang w:val="en-US"/>
        </w:rPr>
        <w:t>J Neurosurg 114:1544–1568, 2011</w:t>
      </w:r>
    </w:p>
    <w:p w:rsidR="00C33E7D" w:rsidRPr="00CB6C31" w:rsidRDefault="00C33E7D" w:rsidP="00C33E7D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sz w:val="28"/>
          <w:szCs w:val="28"/>
          <w:lang w:val="en-US"/>
        </w:rPr>
        <w:t xml:space="preserve">17.     </w:t>
      </w:r>
      <w:r w:rsidRPr="00C33E7D">
        <w:rPr>
          <w:iCs/>
          <w:color w:val="000000"/>
          <w:sz w:val="28"/>
          <w:szCs w:val="28"/>
          <w:lang w:val="en-US"/>
        </w:rPr>
        <w:t>UK guidelines for the management of pituitary apoplexy</w:t>
      </w:r>
      <w:r>
        <w:rPr>
          <w:iCs/>
          <w:color w:val="000000"/>
          <w:sz w:val="28"/>
          <w:szCs w:val="28"/>
          <w:lang w:val="en-US"/>
        </w:rPr>
        <w:t xml:space="preserve">. </w:t>
      </w:r>
      <w:r w:rsidRPr="00C33E7D">
        <w:rPr>
          <w:iCs/>
          <w:color w:val="000000"/>
          <w:sz w:val="28"/>
          <w:szCs w:val="28"/>
          <w:lang w:val="en-US"/>
        </w:rPr>
        <w:t>Clinical Endocrinology (2011) 74, 9–20</w:t>
      </w:r>
      <w:r>
        <w:rPr>
          <w:iCs/>
          <w:color w:val="000000"/>
          <w:sz w:val="28"/>
          <w:szCs w:val="28"/>
          <w:lang w:val="en-US"/>
        </w:rPr>
        <w:t>.</w:t>
      </w:r>
    </w:p>
    <w:sectPr w:rsidR="00C33E7D" w:rsidRPr="00CB6C31" w:rsidSect="00AD138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BF1" w:rsidRDefault="007A5BF1" w:rsidP="00B87BA4">
      <w:pPr>
        <w:spacing w:after="0" w:line="240" w:lineRule="auto"/>
      </w:pPr>
      <w:r>
        <w:separator/>
      </w:r>
    </w:p>
  </w:endnote>
  <w:endnote w:type="continuationSeparator" w:id="0">
    <w:p w:rsidR="007A5BF1" w:rsidRDefault="007A5BF1" w:rsidP="00B8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976807"/>
      <w:docPartObj>
        <w:docPartGallery w:val="Page Numbers (Bottom of Page)"/>
        <w:docPartUnique/>
      </w:docPartObj>
    </w:sdtPr>
    <w:sdtContent>
      <w:p w:rsidR="00B87BA4" w:rsidRDefault="00AD138E">
        <w:pPr>
          <w:pStyle w:val="a9"/>
          <w:jc w:val="center"/>
        </w:pPr>
        <w:r>
          <w:fldChar w:fldCharType="begin"/>
        </w:r>
        <w:r w:rsidR="00B87BA4">
          <w:instrText>PAGE   \* MERGEFORMAT</w:instrText>
        </w:r>
        <w:r>
          <w:fldChar w:fldCharType="separate"/>
        </w:r>
        <w:r w:rsidR="000F3854">
          <w:rPr>
            <w:noProof/>
          </w:rPr>
          <w:t>1</w:t>
        </w:r>
        <w:r>
          <w:fldChar w:fldCharType="end"/>
        </w:r>
      </w:p>
    </w:sdtContent>
  </w:sdt>
  <w:p w:rsidR="00B87BA4" w:rsidRDefault="00B87BA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BF1" w:rsidRDefault="007A5BF1" w:rsidP="00B87BA4">
      <w:pPr>
        <w:spacing w:after="0" w:line="240" w:lineRule="auto"/>
      </w:pPr>
      <w:r>
        <w:separator/>
      </w:r>
    </w:p>
  </w:footnote>
  <w:footnote w:type="continuationSeparator" w:id="0">
    <w:p w:rsidR="007A5BF1" w:rsidRDefault="007A5BF1" w:rsidP="00B87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910"/>
    <w:multiLevelType w:val="hybridMultilevel"/>
    <w:tmpl w:val="C0203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7729D"/>
    <w:multiLevelType w:val="hybridMultilevel"/>
    <w:tmpl w:val="7BDE7188"/>
    <w:lvl w:ilvl="0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">
    <w:nsid w:val="100E167D"/>
    <w:multiLevelType w:val="hybridMultilevel"/>
    <w:tmpl w:val="FAFEAB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46D37"/>
    <w:multiLevelType w:val="hybridMultilevel"/>
    <w:tmpl w:val="319EE6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7160FF"/>
    <w:multiLevelType w:val="hybridMultilevel"/>
    <w:tmpl w:val="B8A632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53478"/>
    <w:multiLevelType w:val="hybridMultilevel"/>
    <w:tmpl w:val="33BC2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51931"/>
    <w:multiLevelType w:val="hybridMultilevel"/>
    <w:tmpl w:val="8110B7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5175BD"/>
    <w:multiLevelType w:val="hybridMultilevel"/>
    <w:tmpl w:val="4EA4656A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FC37A19"/>
    <w:multiLevelType w:val="hybridMultilevel"/>
    <w:tmpl w:val="B2AAA5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DE5A37"/>
    <w:multiLevelType w:val="hybridMultilevel"/>
    <w:tmpl w:val="7332B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FA59A1"/>
    <w:multiLevelType w:val="hybridMultilevel"/>
    <w:tmpl w:val="63762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2608DB"/>
    <w:multiLevelType w:val="hybridMultilevel"/>
    <w:tmpl w:val="E76491D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46B4B"/>
    <w:multiLevelType w:val="hybridMultilevel"/>
    <w:tmpl w:val="DA2A3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854CBD"/>
    <w:multiLevelType w:val="hybridMultilevel"/>
    <w:tmpl w:val="7E58709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0D82A2F"/>
    <w:multiLevelType w:val="hybridMultilevel"/>
    <w:tmpl w:val="F46EC18A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5F841031"/>
    <w:multiLevelType w:val="multilevel"/>
    <w:tmpl w:val="3828C49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6">
    <w:nsid w:val="63405454"/>
    <w:multiLevelType w:val="hybridMultilevel"/>
    <w:tmpl w:val="D488072C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64B1334"/>
    <w:multiLevelType w:val="hybridMultilevel"/>
    <w:tmpl w:val="BAB06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0A548D"/>
    <w:multiLevelType w:val="hybridMultilevel"/>
    <w:tmpl w:val="CB2ABC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E5929E4"/>
    <w:multiLevelType w:val="hybridMultilevel"/>
    <w:tmpl w:val="9856B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D119B6"/>
    <w:multiLevelType w:val="hybridMultilevel"/>
    <w:tmpl w:val="3434F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495038"/>
    <w:multiLevelType w:val="hybridMultilevel"/>
    <w:tmpl w:val="933E1DD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3"/>
  </w:num>
  <w:num w:numId="4">
    <w:abstractNumId w:val="6"/>
  </w:num>
  <w:num w:numId="5">
    <w:abstractNumId w:val="12"/>
  </w:num>
  <w:num w:numId="6">
    <w:abstractNumId w:val="20"/>
  </w:num>
  <w:num w:numId="7">
    <w:abstractNumId w:val="9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4"/>
  </w:num>
  <w:num w:numId="13">
    <w:abstractNumId w:val="16"/>
  </w:num>
  <w:num w:numId="14">
    <w:abstractNumId w:val="1"/>
  </w:num>
  <w:num w:numId="15">
    <w:abstractNumId w:val="4"/>
  </w:num>
  <w:num w:numId="16">
    <w:abstractNumId w:val="11"/>
  </w:num>
  <w:num w:numId="17">
    <w:abstractNumId w:val="7"/>
  </w:num>
  <w:num w:numId="18">
    <w:abstractNumId w:val="10"/>
  </w:num>
  <w:num w:numId="19">
    <w:abstractNumId w:val="8"/>
  </w:num>
  <w:num w:numId="20">
    <w:abstractNumId w:val="17"/>
  </w:num>
  <w:num w:numId="21">
    <w:abstractNumId w:val="1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FFE"/>
    <w:rsid w:val="00011582"/>
    <w:rsid w:val="00061D28"/>
    <w:rsid w:val="00066D47"/>
    <w:rsid w:val="000A0357"/>
    <w:rsid w:val="000D131B"/>
    <w:rsid w:val="000D2EFB"/>
    <w:rsid w:val="000F3854"/>
    <w:rsid w:val="00143938"/>
    <w:rsid w:val="001601BE"/>
    <w:rsid w:val="001B51FF"/>
    <w:rsid w:val="00200C65"/>
    <w:rsid w:val="00237280"/>
    <w:rsid w:val="00397184"/>
    <w:rsid w:val="003F0B67"/>
    <w:rsid w:val="00401D27"/>
    <w:rsid w:val="00405E74"/>
    <w:rsid w:val="004A5E3F"/>
    <w:rsid w:val="0055222D"/>
    <w:rsid w:val="005B4117"/>
    <w:rsid w:val="005D6BD5"/>
    <w:rsid w:val="005E1D76"/>
    <w:rsid w:val="00681E3B"/>
    <w:rsid w:val="006A3A1D"/>
    <w:rsid w:val="00764CD1"/>
    <w:rsid w:val="007A5BF1"/>
    <w:rsid w:val="007F46EB"/>
    <w:rsid w:val="008030A8"/>
    <w:rsid w:val="00816AFD"/>
    <w:rsid w:val="00823ED1"/>
    <w:rsid w:val="00851789"/>
    <w:rsid w:val="00897092"/>
    <w:rsid w:val="008A00C8"/>
    <w:rsid w:val="008E091C"/>
    <w:rsid w:val="008F6D3D"/>
    <w:rsid w:val="00A33E0D"/>
    <w:rsid w:val="00A41BBD"/>
    <w:rsid w:val="00A75732"/>
    <w:rsid w:val="00A76B56"/>
    <w:rsid w:val="00AB0294"/>
    <w:rsid w:val="00AD138E"/>
    <w:rsid w:val="00AE120D"/>
    <w:rsid w:val="00B60113"/>
    <w:rsid w:val="00B71FFE"/>
    <w:rsid w:val="00B87BA4"/>
    <w:rsid w:val="00BE64D7"/>
    <w:rsid w:val="00C201BE"/>
    <w:rsid w:val="00C33E7D"/>
    <w:rsid w:val="00C54AAB"/>
    <w:rsid w:val="00CB6C31"/>
    <w:rsid w:val="00D541A7"/>
    <w:rsid w:val="00DD05C5"/>
    <w:rsid w:val="00E077A7"/>
    <w:rsid w:val="00EC5F81"/>
    <w:rsid w:val="00EC7AF8"/>
    <w:rsid w:val="00F2596A"/>
    <w:rsid w:val="00F34B51"/>
    <w:rsid w:val="00F476FC"/>
    <w:rsid w:val="00F65540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2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33E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5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33E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unhideWhenUsed/>
    <w:rsid w:val="00C33E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8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87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7BA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87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7BA4"/>
    <w:rPr>
      <w:rFonts w:ascii="Calibri" w:eastAsia="Calibri" w:hAnsi="Calibri" w:cs="Times New Roman"/>
    </w:rPr>
  </w:style>
  <w:style w:type="character" w:customStyle="1" w:styleId="FontStyle46">
    <w:name w:val="Font Style46"/>
    <w:basedOn w:val="a0"/>
    <w:uiPriority w:val="99"/>
    <w:rsid w:val="00E077A7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61">
    <w:name w:val="Font Style61"/>
    <w:basedOn w:val="a0"/>
    <w:rsid w:val="00E077A7"/>
    <w:rPr>
      <w:rFonts w:ascii="Times New Roman" w:hAnsi="Times New Roman" w:cs="Times New Roman"/>
      <w:i/>
      <w:iCs/>
      <w:spacing w:val="-10"/>
      <w:sz w:val="20"/>
      <w:szCs w:val="20"/>
    </w:rPr>
  </w:style>
  <w:style w:type="paragraph" w:customStyle="1" w:styleId="Style23">
    <w:name w:val="Style23"/>
    <w:basedOn w:val="a"/>
    <w:rsid w:val="00E077A7"/>
    <w:pPr>
      <w:widowControl w:val="0"/>
      <w:autoSpaceDE w:val="0"/>
      <w:autoSpaceDN w:val="0"/>
      <w:adjustRightInd w:val="0"/>
      <w:spacing w:after="0" w:line="202" w:lineRule="exact"/>
      <w:ind w:hanging="1920"/>
    </w:pPr>
    <w:rPr>
      <w:rFonts w:ascii="Times New Roman" w:eastAsia="MS Mincho" w:hAnsi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2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33E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5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33E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unhideWhenUsed/>
    <w:rsid w:val="00C33E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18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87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7BA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87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7BA4"/>
    <w:rPr>
      <w:rFonts w:ascii="Calibri" w:eastAsia="Calibri" w:hAnsi="Calibri" w:cs="Times New Roman"/>
    </w:rPr>
  </w:style>
  <w:style w:type="character" w:customStyle="1" w:styleId="FontStyle46">
    <w:name w:val="Font Style46"/>
    <w:basedOn w:val="a0"/>
    <w:uiPriority w:val="99"/>
    <w:rsid w:val="00E077A7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61">
    <w:name w:val="Font Style61"/>
    <w:basedOn w:val="a0"/>
    <w:rsid w:val="00E077A7"/>
    <w:rPr>
      <w:rFonts w:ascii="Times New Roman" w:hAnsi="Times New Roman" w:cs="Times New Roman"/>
      <w:i/>
      <w:iCs/>
      <w:spacing w:val="-10"/>
      <w:sz w:val="20"/>
      <w:szCs w:val="20"/>
    </w:rPr>
  </w:style>
  <w:style w:type="paragraph" w:customStyle="1" w:styleId="Style23">
    <w:name w:val="Style23"/>
    <w:basedOn w:val="a"/>
    <w:rsid w:val="00E077A7"/>
    <w:pPr>
      <w:widowControl w:val="0"/>
      <w:autoSpaceDE w:val="0"/>
      <w:autoSpaceDN w:val="0"/>
      <w:adjustRightInd w:val="0"/>
      <w:spacing w:after="0" w:line="202" w:lineRule="exact"/>
      <w:ind w:hanging="1920"/>
    </w:pPr>
    <w:rPr>
      <w:rFonts w:ascii="Times New Roman" w:eastAsia="MS Mincho" w:hAnsi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6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onlinelibrary.wiley.com/doi/10.1111/cen.2006.65.issue-2/issuet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5460</Words>
  <Characters>31123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M_Butenko</cp:lastModifiedBy>
  <cp:revision>2</cp:revision>
  <cp:lastPrinted>2014-10-23T10:41:00Z</cp:lastPrinted>
  <dcterms:created xsi:type="dcterms:W3CDTF">2015-03-30T07:01:00Z</dcterms:created>
  <dcterms:modified xsi:type="dcterms:W3CDTF">2015-03-30T07:01:00Z</dcterms:modified>
</cp:coreProperties>
</file>